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67CDFFD">
      <w:pPr>
        <w:widowControl/>
        <w:spacing w:line="360" w:lineRule="auto"/>
        <w:jc w:val="center"/>
        <w:rPr>
          <w:rFonts w:hint="eastAsia" w:ascii="宋体" w:hAnsi="宋体" w:eastAsia="宋体" w:cs="宋体"/>
          <w:b/>
          <w:color w:val="auto"/>
          <w:sz w:val="36"/>
          <w:szCs w:val="36"/>
          <w:highlight w:val="none"/>
          <w:lang w:val="en-US" w:eastAsia="zh-CN" w:bidi="ar-SA"/>
        </w:rPr>
      </w:pPr>
    </w:p>
    <w:p w14:paraId="15478868">
      <w:pPr>
        <w:widowControl/>
        <w:spacing w:line="360" w:lineRule="auto"/>
        <w:jc w:val="center"/>
        <w:rPr>
          <w:rFonts w:hint="eastAsia" w:ascii="宋体" w:hAnsi="宋体" w:eastAsia="宋体" w:cs="宋体"/>
          <w:b/>
          <w:color w:val="auto"/>
          <w:sz w:val="44"/>
          <w:szCs w:val="44"/>
          <w:highlight w:val="none"/>
          <w:lang w:val="en-US" w:eastAsia="zh-CN" w:bidi="ar-SA"/>
        </w:rPr>
      </w:pPr>
    </w:p>
    <w:p w14:paraId="4CB27059">
      <w:pPr>
        <w:widowControl/>
        <w:spacing w:line="360" w:lineRule="auto"/>
        <w:jc w:val="center"/>
        <w:rPr>
          <w:rFonts w:hint="eastAsia" w:ascii="宋体" w:hAnsi="宋体" w:eastAsia="宋体" w:cs="宋体"/>
          <w:b/>
          <w:color w:val="auto"/>
          <w:sz w:val="44"/>
          <w:szCs w:val="44"/>
          <w:highlight w:val="none"/>
          <w:lang w:val="en-US" w:eastAsia="zh-CN" w:bidi="ar-SA"/>
        </w:rPr>
      </w:pPr>
      <w:r>
        <w:rPr>
          <w:rFonts w:hint="eastAsia" w:ascii="宋体" w:hAnsi="宋体" w:eastAsia="宋体" w:cs="宋体"/>
          <w:b/>
          <w:color w:val="auto"/>
          <w:sz w:val="44"/>
          <w:szCs w:val="44"/>
          <w:highlight w:val="none"/>
          <w:lang w:val="en-US" w:eastAsia="zh-CN" w:bidi="ar-SA"/>
        </w:rPr>
        <w:t>2026年度盐城国际会展中心弱电智能化维保及活动保障服务项目</w:t>
      </w:r>
    </w:p>
    <w:p w14:paraId="41A008FE">
      <w:pPr>
        <w:widowControl/>
        <w:spacing w:line="360" w:lineRule="auto"/>
        <w:jc w:val="center"/>
        <w:rPr>
          <w:rFonts w:hint="eastAsia" w:ascii="宋体" w:hAnsi="宋体" w:eastAsia="宋体" w:cs="宋体"/>
          <w:b/>
          <w:color w:val="auto"/>
          <w:sz w:val="36"/>
          <w:szCs w:val="36"/>
          <w:highlight w:val="none"/>
          <w:lang w:val="en-US" w:eastAsia="zh-CN" w:bidi="ar-SA"/>
        </w:rPr>
      </w:pPr>
    </w:p>
    <w:p w14:paraId="2DE8473C">
      <w:pPr>
        <w:widowControl/>
        <w:spacing w:line="360" w:lineRule="auto"/>
        <w:jc w:val="center"/>
        <w:rPr>
          <w:rFonts w:hint="eastAsia" w:ascii="宋体" w:hAnsi="宋体" w:eastAsia="宋体" w:cs="宋体"/>
          <w:b/>
          <w:color w:val="auto"/>
          <w:sz w:val="36"/>
          <w:szCs w:val="36"/>
          <w:highlight w:val="none"/>
          <w:lang w:val="en-US" w:eastAsia="zh-CN" w:bidi="ar-SA"/>
        </w:rPr>
      </w:pPr>
    </w:p>
    <w:p w14:paraId="2B414249">
      <w:pPr>
        <w:widowControl/>
        <w:spacing w:line="360" w:lineRule="auto"/>
        <w:jc w:val="center"/>
        <w:rPr>
          <w:rFonts w:hint="eastAsia" w:ascii="宋体" w:hAnsi="宋体" w:eastAsia="宋体" w:cs="宋体"/>
          <w:b/>
          <w:color w:val="auto"/>
          <w:sz w:val="36"/>
          <w:szCs w:val="36"/>
          <w:highlight w:val="none"/>
          <w:lang w:val="en-US" w:eastAsia="zh-CN" w:bidi="ar-SA"/>
        </w:rPr>
      </w:pPr>
    </w:p>
    <w:p w14:paraId="3F42E98C">
      <w:pPr>
        <w:widowControl/>
        <w:spacing w:line="360" w:lineRule="auto"/>
        <w:jc w:val="center"/>
        <w:rPr>
          <w:rFonts w:hint="eastAsia" w:ascii="宋体" w:hAnsi="宋体" w:eastAsia="宋体" w:cs="宋体"/>
          <w:b/>
          <w:color w:val="auto"/>
          <w:sz w:val="36"/>
          <w:szCs w:val="36"/>
          <w:highlight w:val="none"/>
          <w:lang w:val="en-US" w:eastAsia="zh-CN" w:bidi="ar-SA"/>
        </w:rPr>
      </w:pPr>
    </w:p>
    <w:p w14:paraId="43E85FF2">
      <w:pPr>
        <w:widowControl/>
        <w:spacing w:line="360" w:lineRule="auto"/>
        <w:jc w:val="center"/>
        <w:rPr>
          <w:rFonts w:hint="eastAsia" w:ascii="宋体" w:hAnsi="宋体" w:eastAsia="宋体" w:cs="宋体"/>
          <w:b/>
          <w:color w:val="auto"/>
          <w:sz w:val="84"/>
          <w:szCs w:val="84"/>
          <w:highlight w:val="none"/>
          <w:lang w:val="en-US" w:eastAsia="zh-CN" w:bidi="ar-SA"/>
        </w:rPr>
      </w:pPr>
      <w:r>
        <w:rPr>
          <w:rFonts w:hint="eastAsia" w:ascii="宋体" w:hAnsi="宋体" w:eastAsia="宋体" w:cs="宋体"/>
          <w:b/>
          <w:color w:val="auto"/>
          <w:sz w:val="84"/>
          <w:szCs w:val="84"/>
          <w:highlight w:val="none"/>
          <w:lang w:val="en-US" w:eastAsia="zh-CN" w:bidi="ar-SA"/>
        </w:rPr>
        <w:t>招 标 文 件</w:t>
      </w:r>
    </w:p>
    <w:p w14:paraId="03EF4636">
      <w:pPr>
        <w:pStyle w:val="21"/>
        <w:tabs>
          <w:tab w:val="left" w:pos="0"/>
        </w:tabs>
        <w:ind w:left="0" w:leftChars="0" w:firstLine="0" w:firstLineChars="0"/>
        <w:outlineLvl w:val="0"/>
        <w:rPr>
          <w:rFonts w:hint="eastAsia" w:ascii="宋体" w:hAnsi="宋体" w:eastAsia="宋体" w:cs="宋体"/>
          <w:color w:val="auto"/>
          <w:highlight w:val="none"/>
        </w:rPr>
      </w:pPr>
      <w:bookmarkStart w:id="0" w:name="heading_0"/>
    </w:p>
    <w:p w14:paraId="259CBD3C">
      <w:pPr>
        <w:pStyle w:val="21"/>
        <w:tabs>
          <w:tab w:val="left" w:pos="0"/>
        </w:tabs>
        <w:ind w:left="0" w:leftChars="0" w:firstLine="0" w:firstLineChars="0"/>
        <w:outlineLvl w:val="0"/>
        <w:rPr>
          <w:rFonts w:hint="eastAsia" w:ascii="宋体" w:hAnsi="宋体" w:eastAsia="宋体" w:cs="宋体"/>
          <w:color w:val="auto"/>
          <w:highlight w:val="none"/>
        </w:rPr>
      </w:pPr>
    </w:p>
    <w:p w14:paraId="04512879">
      <w:pPr>
        <w:pStyle w:val="21"/>
        <w:tabs>
          <w:tab w:val="left" w:pos="0"/>
        </w:tabs>
        <w:ind w:left="0" w:leftChars="0" w:firstLine="0" w:firstLineChars="0"/>
        <w:outlineLvl w:val="0"/>
        <w:rPr>
          <w:rFonts w:hint="eastAsia" w:ascii="宋体" w:hAnsi="宋体" w:eastAsia="宋体" w:cs="宋体"/>
          <w:color w:val="auto"/>
          <w:highlight w:val="none"/>
        </w:rPr>
      </w:pPr>
    </w:p>
    <w:p w14:paraId="7B972E3B">
      <w:pPr>
        <w:spacing w:line="480" w:lineRule="auto"/>
        <w:ind w:firstLine="643" w:firstLineChars="200"/>
        <w:rPr>
          <w:rFonts w:hint="eastAsia" w:ascii="宋体" w:hAnsi="宋体" w:eastAsia="宋体" w:cs="宋体"/>
          <w:b/>
          <w:color w:val="auto"/>
          <w:sz w:val="32"/>
          <w:szCs w:val="32"/>
          <w:highlight w:val="none"/>
        </w:rPr>
      </w:pPr>
      <w:bookmarkStart w:id="1" w:name="_Hlk103104371"/>
      <w:r>
        <w:rPr>
          <w:rFonts w:hint="eastAsia" w:ascii="宋体" w:hAnsi="宋体" w:eastAsia="宋体" w:cs="宋体"/>
          <w:b/>
          <w:color w:val="auto"/>
          <w:sz w:val="32"/>
          <w:szCs w:val="32"/>
          <w:highlight w:val="none"/>
        </w:rPr>
        <w:t>招　标　人：</w:t>
      </w:r>
      <w:r>
        <w:rPr>
          <w:rFonts w:hint="eastAsia" w:ascii="宋体" w:hAnsi="宋体" w:eastAsia="宋体" w:cs="宋体"/>
          <w:b/>
          <w:color w:val="auto"/>
          <w:spacing w:val="-20"/>
          <w:sz w:val="32"/>
          <w:szCs w:val="32"/>
          <w:highlight w:val="none"/>
          <w:u w:val="single"/>
          <w:lang w:eastAsia="zh-CN"/>
        </w:rPr>
        <w:t>盐城东方投资开发集团有限公司</w:t>
      </w:r>
      <w:r>
        <w:rPr>
          <w:rFonts w:hint="eastAsia" w:ascii="宋体" w:hAnsi="宋体" w:eastAsia="宋体" w:cs="宋体"/>
          <w:b/>
          <w:color w:val="auto"/>
          <w:sz w:val="32"/>
          <w:szCs w:val="32"/>
          <w:highlight w:val="none"/>
        </w:rPr>
        <w:t>（盖章）</w:t>
      </w:r>
    </w:p>
    <w:p w14:paraId="05308D83">
      <w:pPr>
        <w:tabs>
          <w:tab w:val="left" w:pos="7560"/>
        </w:tabs>
        <w:spacing w:line="480" w:lineRule="auto"/>
        <w:ind w:firstLine="643" w:firstLineChars="200"/>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法定代表人：</w:t>
      </w:r>
      <w:bookmarkStart w:id="2" w:name="EBb32cb79e4fe5475582c3bd55638e5b32"/>
      <w:bookmarkEnd w:id="2"/>
      <w:r>
        <w:rPr>
          <w:rFonts w:hint="eastAsia" w:ascii="宋体" w:hAnsi="宋体" w:eastAsia="宋体" w:cs="宋体"/>
          <w:b/>
          <w:color w:val="auto"/>
          <w:sz w:val="32"/>
          <w:szCs w:val="32"/>
          <w:highlight w:val="none"/>
          <w:u w:val="single"/>
        </w:rPr>
        <w:t xml:space="preserve">                         </w:t>
      </w:r>
      <w:r>
        <w:rPr>
          <w:rFonts w:hint="eastAsia" w:ascii="宋体" w:hAnsi="宋体" w:eastAsia="宋体" w:cs="宋体"/>
          <w:b/>
          <w:color w:val="auto"/>
          <w:sz w:val="32"/>
          <w:szCs w:val="32"/>
          <w:highlight w:val="none"/>
        </w:rPr>
        <w:t>（盖章）</w:t>
      </w:r>
    </w:p>
    <w:p w14:paraId="345FD325">
      <w:pPr>
        <w:pStyle w:val="17"/>
        <w:rPr>
          <w:rFonts w:hint="eastAsia" w:ascii="宋体" w:hAnsi="宋体" w:eastAsia="宋体" w:cs="宋体"/>
          <w:color w:val="auto"/>
          <w:highlight w:val="none"/>
        </w:rPr>
      </w:pPr>
    </w:p>
    <w:p w14:paraId="5FF0851C">
      <w:pPr>
        <w:tabs>
          <w:tab w:val="left" w:pos="7560"/>
        </w:tabs>
        <w:spacing w:line="480" w:lineRule="auto"/>
        <w:ind w:firstLine="643" w:firstLineChars="200"/>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招标代理机构:</w:t>
      </w:r>
      <w:r>
        <w:rPr>
          <w:rFonts w:hint="eastAsia" w:ascii="宋体" w:hAnsi="宋体" w:eastAsia="宋体" w:cs="宋体"/>
          <w:b/>
          <w:color w:val="auto"/>
          <w:spacing w:val="-20"/>
          <w:sz w:val="32"/>
          <w:szCs w:val="32"/>
          <w:highlight w:val="none"/>
          <w:u w:val="single"/>
        </w:rPr>
        <w:t>江苏伟业项目管理有限公司</w:t>
      </w:r>
      <w:r>
        <w:rPr>
          <w:rFonts w:hint="eastAsia" w:ascii="宋体" w:hAnsi="宋体" w:eastAsia="宋体" w:cs="宋体"/>
          <w:b/>
          <w:color w:val="auto"/>
          <w:sz w:val="32"/>
          <w:szCs w:val="32"/>
          <w:highlight w:val="none"/>
        </w:rPr>
        <w:t>（盖章）</w:t>
      </w:r>
    </w:p>
    <w:p w14:paraId="3888E935">
      <w:pPr>
        <w:spacing w:line="480" w:lineRule="auto"/>
        <w:ind w:firstLine="643" w:firstLineChars="200"/>
        <w:rPr>
          <w:rFonts w:hint="eastAsia" w:ascii="宋体" w:hAnsi="宋体" w:eastAsia="宋体" w:cs="宋体"/>
          <w:color w:val="auto"/>
          <w:sz w:val="28"/>
          <w:szCs w:val="28"/>
          <w:highlight w:val="none"/>
        </w:rPr>
      </w:pPr>
      <w:r>
        <w:rPr>
          <w:rFonts w:hint="eastAsia" w:ascii="宋体" w:hAnsi="宋体" w:eastAsia="宋体" w:cs="宋体"/>
          <w:b/>
          <w:color w:val="auto"/>
          <w:sz w:val="32"/>
          <w:szCs w:val="32"/>
          <w:highlight w:val="none"/>
        </w:rPr>
        <w:t>法定代表人：</w:t>
      </w:r>
      <w:bookmarkStart w:id="3" w:name="EB9d580fdf8a954a5eb12e33a3c0787496"/>
      <w:bookmarkEnd w:id="3"/>
      <w:r>
        <w:rPr>
          <w:rFonts w:hint="eastAsia" w:ascii="宋体" w:hAnsi="宋体" w:eastAsia="宋体" w:cs="宋体"/>
          <w:b/>
          <w:color w:val="auto"/>
          <w:sz w:val="32"/>
          <w:szCs w:val="32"/>
          <w:highlight w:val="none"/>
          <w:u w:val="single"/>
        </w:rPr>
        <w:t xml:space="preserve">                        </w:t>
      </w:r>
      <w:r>
        <w:rPr>
          <w:rFonts w:hint="eastAsia" w:ascii="宋体" w:hAnsi="宋体" w:eastAsia="宋体" w:cs="宋体"/>
          <w:b/>
          <w:color w:val="auto"/>
          <w:sz w:val="32"/>
          <w:szCs w:val="32"/>
          <w:highlight w:val="none"/>
        </w:rPr>
        <w:t>（盖章）</w:t>
      </w:r>
      <w:bookmarkEnd w:id="1"/>
    </w:p>
    <w:p w14:paraId="22F53439">
      <w:pPr>
        <w:spacing w:line="480" w:lineRule="auto"/>
        <w:jc w:val="center"/>
        <w:rPr>
          <w:rFonts w:hint="eastAsia" w:ascii="宋体" w:hAnsi="宋体" w:eastAsia="宋体" w:cs="宋体"/>
          <w:b/>
          <w:color w:val="auto"/>
          <w:sz w:val="32"/>
          <w:szCs w:val="32"/>
          <w:highlight w:val="none"/>
        </w:rPr>
      </w:pPr>
      <w:bookmarkStart w:id="4" w:name="EB318e83f7cad04f51aa6a60ce3a0d7315"/>
      <w:bookmarkEnd w:id="4"/>
    </w:p>
    <w:p w14:paraId="735AD793">
      <w:pPr>
        <w:spacing w:line="480" w:lineRule="auto"/>
        <w:jc w:val="center"/>
        <w:rPr>
          <w:rFonts w:hint="eastAsia" w:ascii="宋体" w:hAnsi="宋体" w:eastAsia="宋体" w:cs="宋体"/>
          <w:b/>
          <w:color w:val="auto"/>
          <w:sz w:val="32"/>
          <w:szCs w:val="32"/>
          <w:highlight w:val="none"/>
        </w:rPr>
        <w:sectPr>
          <w:footerReference r:id="rId3" w:type="default"/>
          <w:pgSz w:w="11906" w:h="16838"/>
          <w:pgMar w:top="1418" w:right="1274" w:bottom="1418" w:left="1560" w:header="851" w:footer="992" w:gutter="0"/>
          <w:pgNumType w:start="1"/>
          <w:cols w:space="720" w:num="1"/>
          <w:docGrid w:type="lines" w:linePitch="312" w:charSpace="0"/>
        </w:sectPr>
      </w:pPr>
      <w:r>
        <w:rPr>
          <w:rFonts w:hint="eastAsia" w:ascii="宋体" w:hAnsi="宋体" w:eastAsia="宋体" w:cs="宋体"/>
          <w:b/>
          <w:color w:val="auto"/>
          <w:sz w:val="32"/>
          <w:szCs w:val="32"/>
          <w:highlight w:val="none"/>
        </w:rPr>
        <w:t>202</w:t>
      </w:r>
      <w:r>
        <w:rPr>
          <w:rFonts w:hint="eastAsia" w:ascii="宋体" w:hAnsi="宋体" w:eastAsia="宋体" w:cs="宋体"/>
          <w:b/>
          <w:color w:val="auto"/>
          <w:sz w:val="32"/>
          <w:szCs w:val="32"/>
          <w:highlight w:val="none"/>
          <w:lang w:val="en-US" w:eastAsia="zh-CN"/>
        </w:rPr>
        <w:t>6</w:t>
      </w:r>
      <w:r>
        <w:rPr>
          <w:rFonts w:hint="eastAsia" w:ascii="宋体" w:hAnsi="宋体" w:eastAsia="宋体" w:cs="宋体"/>
          <w:b/>
          <w:color w:val="auto"/>
          <w:sz w:val="32"/>
          <w:szCs w:val="32"/>
          <w:highlight w:val="none"/>
        </w:rPr>
        <w:t>年</w:t>
      </w:r>
      <w:r>
        <w:rPr>
          <w:rFonts w:hint="eastAsia" w:ascii="宋体" w:hAnsi="宋体" w:eastAsia="宋体" w:cs="宋体"/>
          <w:b/>
          <w:color w:val="auto"/>
          <w:sz w:val="32"/>
          <w:szCs w:val="32"/>
          <w:highlight w:val="none"/>
          <w:lang w:val="en-US" w:eastAsia="zh-CN"/>
        </w:rPr>
        <w:t>2</w:t>
      </w:r>
      <w:r>
        <w:rPr>
          <w:rFonts w:hint="eastAsia" w:ascii="宋体" w:hAnsi="宋体" w:eastAsia="宋体" w:cs="宋体"/>
          <w:b/>
          <w:color w:val="auto"/>
          <w:sz w:val="32"/>
          <w:szCs w:val="32"/>
          <w:highlight w:val="none"/>
        </w:rPr>
        <w:t>月</w:t>
      </w:r>
    </w:p>
    <w:p w14:paraId="0027A82F">
      <w:pPr>
        <w:spacing w:line="360" w:lineRule="auto"/>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目  录</w:t>
      </w:r>
    </w:p>
    <w:p w14:paraId="5B8E462A">
      <w:pPr>
        <w:pStyle w:val="14"/>
        <w:tabs>
          <w:tab w:val="right" w:leader="dot" w:pos="9628"/>
        </w:tabs>
        <w:rPr>
          <w:rFonts w:hint="eastAsia" w:ascii="宋体" w:hAnsi="宋体" w:eastAsia="宋体" w:cs="宋体"/>
          <w:color w:val="auto"/>
          <w:sz w:val="32"/>
          <w:szCs w:val="32"/>
          <w:highlight w:val="none"/>
        </w:rPr>
      </w:pPr>
    </w:p>
    <w:p w14:paraId="7761EB89">
      <w:pPr>
        <w:pStyle w:val="14"/>
        <w:tabs>
          <w:tab w:val="right" w:leader="dot" w:pos="9062"/>
        </w:tabs>
        <w:rPr>
          <w:rFonts w:hint="eastAsia" w:ascii="宋体" w:hAnsi="宋体" w:eastAsia="宋体" w:cs="宋体"/>
          <w:color w:val="auto"/>
          <w:kern w:val="2"/>
          <w:sz w:val="21"/>
          <w:szCs w:val="21"/>
          <w:highlight w:val="none"/>
          <w:lang w:eastAsia="zh-CN"/>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TOC \o "1-1" \u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第一章 招标公告</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lang w:val="en-US" w:eastAsia="zh-CN"/>
        </w:rPr>
        <w:t>2</w:t>
      </w:r>
    </w:p>
    <w:p w14:paraId="61DF40FE">
      <w:pPr>
        <w:pStyle w:val="14"/>
        <w:tabs>
          <w:tab w:val="right" w:leader="dot" w:pos="9062"/>
        </w:tabs>
        <w:rPr>
          <w:rFonts w:hint="eastAsia" w:ascii="宋体" w:hAnsi="宋体" w:eastAsia="宋体" w:cs="宋体"/>
          <w:color w:val="auto"/>
          <w:kern w:val="2"/>
          <w:sz w:val="21"/>
          <w:szCs w:val="21"/>
          <w:highlight w:val="none"/>
        </w:rPr>
      </w:pPr>
      <w:r>
        <w:rPr>
          <w:rFonts w:hint="eastAsia" w:ascii="宋体" w:hAnsi="宋体" w:eastAsia="宋体" w:cs="宋体"/>
          <w:color w:val="auto"/>
          <w:sz w:val="21"/>
          <w:szCs w:val="21"/>
          <w:highlight w:val="none"/>
        </w:rPr>
        <w:t>第二章 投标人须知</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t>6</w:t>
      </w:r>
    </w:p>
    <w:p w14:paraId="4483996E">
      <w:pPr>
        <w:pStyle w:val="14"/>
        <w:tabs>
          <w:tab w:val="right" w:leader="dot" w:pos="9062"/>
        </w:tabs>
        <w:rPr>
          <w:rFonts w:hint="eastAsia" w:ascii="宋体" w:hAnsi="宋体" w:eastAsia="宋体" w:cs="宋体"/>
          <w:color w:val="auto"/>
          <w:kern w:val="2"/>
          <w:sz w:val="21"/>
          <w:szCs w:val="21"/>
          <w:highlight w:val="none"/>
          <w:lang w:eastAsia="zh-CN"/>
        </w:rPr>
      </w:pPr>
      <w:r>
        <w:rPr>
          <w:rFonts w:hint="eastAsia" w:ascii="宋体" w:hAnsi="宋体" w:eastAsia="宋体" w:cs="宋体"/>
          <w:color w:val="auto"/>
          <w:sz w:val="21"/>
          <w:szCs w:val="21"/>
          <w:highlight w:val="none"/>
        </w:rPr>
        <w:t>第三章 评标办法（合理低价法）</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7</w:t>
      </w:r>
    </w:p>
    <w:p w14:paraId="6CFF7714">
      <w:pPr>
        <w:pStyle w:val="14"/>
        <w:tabs>
          <w:tab w:val="right" w:leader="dot" w:pos="9062"/>
        </w:tabs>
        <w:rPr>
          <w:rFonts w:hint="default" w:ascii="宋体" w:hAnsi="宋体" w:eastAsia="宋体" w:cs="宋体"/>
          <w:color w:val="auto"/>
          <w:kern w:val="2"/>
          <w:sz w:val="21"/>
          <w:szCs w:val="21"/>
          <w:highlight w:val="none"/>
          <w:lang w:val="en-US" w:eastAsia="zh-CN"/>
        </w:rPr>
      </w:pPr>
      <w:r>
        <w:rPr>
          <w:rFonts w:hint="eastAsia" w:ascii="宋体" w:hAnsi="宋体" w:eastAsia="宋体" w:cs="宋体"/>
          <w:color w:val="auto"/>
          <w:sz w:val="21"/>
          <w:szCs w:val="21"/>
          <w:highlight w:val="none"/>
        </w:rPr>
        <w:t>第四章 合同条款及格式</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lang w:val="en-US" w:eastAsia="zh-CN"/>
        </w:rPr>
        <w:t>37</w:t>
      </w:r>
    </w:p>
    <w:p w14:paraId="6EC87BAA">
      <w:pPr>
        <w:pStyle w:val="14"/>
        <w:tabs>
          <w:tab w:val="right" w:leader="dot" w:pos="9062"/>
        </w:tabs>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sz w:val="21"/>
          <w:szCs w:val="21"/>
          <w:highlight w:val="none"/>
        </w:rPr>
        <w:t>第五章 招标需求</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lang w:val="en-US" w:eastAsia="zh-CN"/>
        </w:rPr>
        <w:t>39</w:t>
      </w:r>
    </w:p>
    <w:p w14:paraId="37622217">
      <w:pPr>
        <w:pStyle w:val="14"/>
        <w:tabs>
          <w:tab w:val="right" w:leader="dot" w:pos="9062"/>
        </w:tabs>
        <w:rPr>
          <w:rFonts w:hint="eastAsia" w:ascii="宋体" w:hAnsi="宋体" w:eastAsia="宋体" w:cs="宋体"/>
          <w:color w:val="auto"/>
          <w:kern w:val="2"/>
          <w:sz w:val="21"/>
          <w:szCs w:val="21"/>
          <w:highlight w:val="none"/>
          <w:lang w:eastAsia="zh-CN"/>
        </w:rPr>
      </w:pPr>
      <w:r>
        <w:rPr>
          <w:rFonts w:hint="eastAsia" w:ascii="宋体" w:hAnsi="宋体" w:eastAsia="宋体" w:cs="宋体"/>
          <w:color w:val="auto"/>
          <w:sz w:val="21"/>
          <w:szCs w:val="21"/>
          <w:highlight w:val="none"/>
        </w:rPr>
        <w:t>第六章 投标文件格式</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t>4</w:t>
      </w:r>
      <w:r>
        <w:rPr>
          <w:rFonts w:hint="eastAsia" w:ascii="宋体" w:hAnsi="宋体" w:eastAsia="宋体" w:cs="宋体"/>
          <w:color w:val="auto"/>
          <w:sz w:val="21"/>
          <w:szCs w:val="21"/>
          <w:highlight w:val="none"/>
          <w:lang w:val="en-US" w:eastAsia="zh-CN"/>
        </w:rPr>
        <w:t>2</w:t>
      </w:r>
    </w:p>
    <w:p w14:paraId="66C0E320">
      <w:pPr>
        <w:rPr>
          <w:rFonts w:hint="eastAsia" w:ascii="宋体" w:hAnsi="宋体" w:eastAsia="宋体" w:cs="宋体"/>
          <w:color w:val="auto"/>
          <w:highlight w:val="none"/>
        </w:rPr>
      </w:pPr>
      <w:r>
        <w:rPr>
          <w:rFonts w:hint="eastAsia" w:ascii="宋体" w:hAnsi="宋体" w:eastAsia="宋体" w:cs="宋体"/>
          <w:color w:val="auto"/>
          <w:sz w:val="21"/>
          <w:szCs w:val="21"/>
          <w:highlight w:val="none"/>
        </w:rPr>
        <w:fldChar w:fldCharType="end"/>
      </w:r>
    </w:p>
    <w:p w14:paraId="77642D14">
      <w:pPr>
        <w:keepNext w:val="0"/>
        <w:keepLines w:val="0"/>
        <w:pageBreakBefore w:val="0"/>
        <w:widowControl w:val="0"/>
        <w:kinsoku/>
        <w:wordWrap/>
        <w:overflowPunct/>
        <w:topLinePunct w:val="0"/>
        <w:autoSpaceDE/>
        <w:autoSpaceDN/>
        <w:bidi w:val="0"/>
        <w:adjustRightInd w:val="0"/>
        <w:snapToGrid w:val="0"/>
        <w:spacing w:line="460" w:lineRule="atLeast"/>
        <w:jc w:val="center"/>
        <w:textAlignment w:val="auto"/>
        <w:rPr>
          <w:rFonts w:hint="eastAsia" w:ascii="宋体" w:hAnsi="宋体" w:eastAsia="宋体" w:cs="宋体"/>
          <w:b/>
          <w:bCs/>
          <w:color w:val="auto"/>
          <w:sz w:val="28"/>
          <w:szCs w:val="28"/>
          <w:highlight w:val="none"/>
        </w:rPr>
      </w:pPr>
      <w:r>
        <w:rPr>
          <w:rFonts w:hint="eastAsia" w:ascii="宋体" w:hAnsi="宋体" w:eastAsia="宋体" w:cs="宋体"/>
          <w:color w:val="auto"/>
          <w:highlight w:val="none"/>
        </w:rPr>
        <w:br w:type="page"/>
      </w:r>
      <w:r>
        <w:rPr>
          <w:rFonts w:hint="eastAsia" w:ascii="宋体" w:hAnsi="宋体" w:eastAsia="宋体" w:cs="宋体"/>
          <w:b/>
          <w:bCs/>
          <w:color w:val="auto"/>
          <w:sz w:val="28"/>
          <w:szCs w:val="28"/>
          <w:highlight w:val="none"/>
        </w:rPr>
        <w:t>第一章 招标公告</w:t>
      </w:r>
      <w:bookmarkEnd w:id="0"/>
    </w:p>
    <w:p w14:paraId="43BC1356">
      <w:pPr>
        <w:pStyle w:val="11"/>
        <w:keepNext w:val="0"/>
        <w:keepLines w:val="0"/>
        <w:pageBreakBefore w:val="0"/>
        <w:widowControl w:val="0"/>
        <w:numPr>
          <w:ilvl w:val="0"/>
          <w:numId w:val="1"/>
        </w:numPr>
        <w:tabs>
          <w:tab w:val="left" w:pos="963"/>
        </w:tabs>
        <w:kinsoku/>
        <w:wordWrap/>
        <w:overflowPunct/>
        <w:topLinePunct w:val="0"/>
        <w:autoSpaceDE/>
        <w:autoSpaceDN/>
        <w:bidi w:val="0"/>
        <w:adjustRightInd w:val="0"/>
        <w:snapToGrid w:val="0"/>
        <w:spacing w:after="0" w:line="460" w:lineRule="atLeast"/>
        <w:ind w:left="0" w:leftChars="0" w:firstLine="422" w:firstLineChars="200"/>
        <w:textAlignment w:val="auto"/>
        <w:rPr>
          <w:rFonts w:hint="eastAsia" w:ascii="宋体" w:hAnsi="宋体" w:eastAsia="宋体" w:cs="宋体"/>
          <w:b/>
          <w:color w:val="auto"/>
          <w:sz w:val="21"/>
          <w:szCs w:val="21"/>
          <w:highlight w:val="none"/>
        </w:rPr>
      </w:pPr>
      <w:bookmarkStart w:id="5" w:name="heading_1"/>
      <w:r>
        <w:rPr>
          <w:rFonts w:hint="eastAsia" w:ascii="宋体" w:hAnsi="宋体" w:eastAsia="宋体" w:cs="宋体"/>
          <w:b/>
          <w:color w:val="auto"/>
          <w:sz w:val="21"/>
          <w:szCs w:val="21"/>
          <w:highlight w:val="none"/>
        </w:rPr>
        <w:t>招标条件</w:t>
      </w:r>
      <w:bookmarkEnd w:id="5"/>
    </w:p>
    <w:p w14:paraId="62921534">
      <w:pPr>
        <w:pStyle w:val="11"/>
        <w:keepNext w:val="0"/>
        <w:keepLines w:val="0"/>
        <w:pageBreakBefore w:val="0"/>
        <w:widowControl w:val="0"/>
        <w:kinsoku/>
        <w:wordWrap/>
        <w:overflowPunct/>
        <w:topLinePunct w:val="0"/>
        <w:autoSpaceDE/>
        <w:autoSpaceDN/>
        <w:bidi w:val="0"/>
        <w:adjustRightInd w:val="0"/>
        <w:snapToGrid w:val="0"/>
        <w:spacing w:after="0" w:line="460" w:lineRule="atLeast"/>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本项目</w:t>
      </w:r>
      <w:r>
        <w:rPr>
          <w:rFonts w:hint="eastAsia" w:ascii="宋体" w:hAnsi="宋体" w:cs="宋体"/>
          <w:color w:val="auto"/>
          <w:sz w:val="21"/>
          <w:szCs w:val="21"/>
          <w:highlight w:val="none"/>
          <w:u w:val="single"/>
          <w:lang w:eastAsia="zh-CN"/>
        </w:rPr>
        <w:t>2026年度盐城国际会展中心弱电智能化维保及活动保障服务项目</w:t>
      </w:r>
      <w:r>
        <w:rPr>
          <w:rFonts w:hint="eastAsia" w:ascii="宋体" w:hAnsi="宋体" w:eastAsia="宋体" w:cs="宋体"/>
          <w:color w:val="auto"/>
          <w:sz w:val="21"/>
          <w:szCs w:val="21"/>
          <w:highlight w:val="none"/>
        </w:rPr>
        <w:t>已由相关部门批准实施，招标人为</w:t>
      </w:r>
      <w:r>
        <w:rPr>
          <w:rFonts w:hint="eastAsia" w:ascii="宋体" w:hAnsi="宋体" w:cs="宋体"/>
          <w:color w:val="auto"/>
          <w:sz w:val="21"/>
          <w:szCs w:val="21"/>
          <w:highlight w:val="none"/>
          <w:u w:val="single"/>
          <w:lang w:eastAsia="zh-CN"/>
        </w:rPr>
        <w:t>盐城东方投资开发集团有限公司</w:t>
      </w:r>
      <w:r>
        <w:rPr>
          <w:rFonts w:hint="eastAsia" w:ascii="宋体" w:hAnsi="宋体" w:eastAsia="宋体" w:cs="宋体"/>
          <w:color w:val="auto"/>
          <w:sz w:val="21"/>
          <w:szCs w:val="21"/>
          <w:highlight w:val="none"/>
        </w:rPr>
        <w:t>，招标项目资金来自</w:t>
      </w:r>
      <w:r>
        <w:rPr>
          <w:rFonts w:hint="eastAsia" w:ascii="宋体" w:hAnsi="宋体" w:eastAsia="宋体" w:cs="宋体"/>
          <w:color w:val="auto"/>
          <w:sz w:val="21"/>
          <w:szCs w:val="21"/>
          <w:highlight w:val="none"/>
          <w:u w:val="single"/>
          <w:lang w:val="en-US" w:eastAsia="zh-CN"/>
        </w:rPr>
        <w:t>国有</w:t>
      </w:r>
      <w:r>
        <w:rPr>
          <w:rFonts w:hint="eastAsia" w:ascii="宋体" w:hAnsi="宋体" w:eastAsia="宋体" w:cs="宋体"/>
          <w:color w:val="auto"/>
          <w:sz w:val="21"/>
          <w:szCs w:val="21"/>
          <w:highlight w:val="none"/>
          <w:u w:val="single"/>
        </w:rPr>
        <w:t>自筹</w:t>
      </w:r>
      <w:r>
        <w:rPr>
          <w:rFonts w:hint="eastAsia" w:ascii="宋体" w:hAnsi="宋体" w:eastAsia="宋体" w:cs="宋体"/>
          <w:color w:val="auto"/>
          <w:sz w:val="21"/>
          <w:szCs w:val="21"/>
          <w:highlight w:val="none"/>
        </w:rPr>
        <w:t>，出资比例为</w:t>
      </w:r>
      <w:r>
        <w:rPr>
          <w:rFonts w:hint="eastAsia" w:ascii="宋体" w:hAnsi="宋体" w:eastAsia="宋体" w:cs="宋体"/>
          <w:color w:val="auto"/>
          <w:sz w:val="21"/>
          <w:szCs w:val="21"/>
          <w:highlight w:val="none"/>
          <w:u w:val="single"/>
        </w:rPr>
        <w:t>100%</w:t>
      </w:r>
      <w:r>
        <w:rPr>
          <w:rFonts w:hint="eastAsia" w:ascii="宋体" w:hAnsi="宋体" w:eastAsia="宋体" w:cs="宋体"/>
          <w:color w:val="auto"/>
          <w:sz w:val="21"/>
          <w:szCs w:val="21"/>
          <w:highlight w:val="none"/>
        </w:rPr>
        <w:t>。该招标项目已具备招标条件，对该项目进行公开招标。</w:t>
      </w:r>
    </w:p>
    <w:p w14:paraId="63EFDF47">
      <w:pPr>
        <w:pStyle w:val="11"/>
        <w:keepNext w:val="0"/>
        <w:keepLines w:val="0"/>
        <w:pageBreakBefore w:val="0"/>
        <w:widowControl w:val="0"/>
        <w:numPr>
          <w:ilvl w:val="0"/>
          <w:numId w:val="1"/>
        </w:numPr>
        <w:tabs>
          <w:tab w:val="left" w:pos="963"/>
        </w:tabs>
        <w:kinsoku/>
        <w:wordWrap/>
        <w:overflowPunct/>
        <w:topLinePunct w:val="0"/>
        <w:autoSpaceDE/>
        <w:autoSpaceDN/>
        <w:bidi w:val="0"/>
        <w:adjustRightInd w:val="0"/>
        <w:snapToGrid w:val="0"/>
        <w:spacing w:after="0" w:line="460" w:lineRule="atLeast"/>
        <w:ind w:left="0" w:leftChars="0" w:firstLine="422" w:firstLineChars="200"/>
        <w:textAlignment w:val="auto"/>
        <w:rPr>
          <w:rFonts w:hint="eastAsia" w:ascii="宋体" w:hAnsi="宋体" w:eastAsia="宋体" w:cs="宋体"/>
          <w:b/>
          <w:color w:val="auto"/>
          <w:sz w:val="21"/>
          <w:szCs w:val="21"/>
          <w:highlight w:val="none"/>
        </w:rPr>
      </w:pPr>
      <w:bookmarkStart w:id="6" w:name="heading_2"/>
      <w:r>
        <w:rPr>
          <w:rFonts w:hint="eastAsia" w:ascii="宋体" w:hAnsi="宋体" w:eastAsia="宋体" w:cs="宋体"/>
          <w:b/>
          <w:color w:val="auto"/>
          <w:sz w:val="21"/>
          <w:szCs w:val="21"/>
          <w:highlight w:val="none"/>
        </w:rPr>
        <w:t>项目概况与招标范围</w:t>
      </w:r>
      <w:bookmarkEnd w:id="6"/>
    </w:p>
    <w:p w14:paraId="58B03260">
      <w:pPr>
        <w:pStyle w:val="11"/>
        <w:keepNext w:val="0"/>
        <w:keepLines w:val="0"/>
        <w:pageBreakBefore w:val="0"/>
        <w:widowControl w:val="0"/>
        <w:numPr>
          <w:ilvl w:val="0"/>
          <w:numId w:val="0"/>
        </w:numPr>
        <w:tabs>
          <w:tab w:val="left" w:pos="783"/>
        </w:tabs>
        <w:kinsoku/>
        <w:wordWrap/>
        <w:overflowPunct/>
        <w:topLinePunct w:val="0"/>
        <w:autoSpaceDE/>
        <w:autoSpaceDN/>
        <w:bidi w:val="0"/>
        <w:adjustRightInd w:val="0"/>
        <w:snapToGrid w:val="0"/>
        <w:spacing w:after="0" w:line="460" w:lineRule="atLeast"/>
        <w:ind w:firstLine="422" w:firstLineChars="200"/>
        <w:textAlignment w:val="auto"/>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lang w:val="en-US" w:eastAsia="zh-CN"/>
        </w:rPr>
        <w:t>1、</w:t>
      </w:r>
      <w:r>
        <w:rPr>
          <w:rFonts w:hint="eastAsia" w:ascii="宋体" w:hAnsi="宋体" w:cs="宋体"/>
          <w:b/>
          <w:color w:val="auto"/>
          <w:sz w:val="21"/>
          <w:szCs w:val="21"/>
          <w:highlight w:val="none"/>
          <w:lang w:val="en-US" w:eastAsia="zh-CN"/>
        </w:rPr>
        <w:t>招标范围</w:t>
      </w:r>
      <w:r>
        <w:rPr>
          <w:rFonts w:hint="eastAsia" w:ascii="宋体" w:hAnsi="宋体" w:eastAsia="宋体" w:cs="宋体"/>
          <w:color w:val="auto"/>
          <w:sz w:val="21"/>
          <w:szCs w:val="21"/>
          <w:highlight w:val="none"/>
        </w:rPr>
        <w:t>：盐城国际会展中心总建筑面积约14.4万平方米，其中老馆区域面积约4.2万平方米，改扩建区域（含D</w:t>
      </w:r>
      <w:r>
        <w:rPr>
          <w:rFonts w:hint="eastAsia" w:ascii="宋体" w:hAnsi="宋体" w:cs="宋体"/>
          <w:color w:val="auto"/>
          <w:sz w:val="21"/>
          <w:szCs w:val="21"/>
          <w:highlight w:val="none"/>
          <w:lang w:val="en-US" w:eastAsia="zh-CN"/>
        </w:rPr>
        <w:t>EF</w:t>
      </w:r>
      <w:r>
        <w:rPr>
          <w:rFonts w:hint="eastAsia" w:ascii="宋体" w:hAnsi="宋体" w:eastAsia="宋体" w:cs="宋体"/>
          <w:color w:val="auto"/>
          <w:sz w:val="21"/>
          <w:szCs w:val="21"/>
          <w:highlight w:val="none"/>
        </w:rPr>
        <w:t>馆及配套设施）面积约10万平方米，涵盖展厅、会议区、配套服务区等核心功能区域。本项目旨在保障整个会展中心弱电智能化系统稳定、高效运行，满足日常运营、常规活动、大型活动及重要会议的使用需求。包括会展中心改扩建工程涉及的所有弱电智能化设备、线路及配套设施，老馆现有大屏系统、网络设备、各类弱电线路及相关附属设施的维保服务，以及专业会议服务保障。具体服务内容以招标人提供的服务需求及现场实际情况为准，招标人保留对上述招标范围进行适当调整的权利。</w:t>
      </w:r>
    </w:p>
    <w:p w14:paraId="0AE5B5B0">
      <w:pPr>
        <w:pStyle w:val="11"/>
        <w:keepNext w:val="0"/>
        <w:keepLines w:val="0"/>
        <w:pageBreakBefore w:val="0"/>
        <w:widowControl w:val="0"/>
        <w:numPr>
          <w:ilvl w:val="0"/>
          <w:numId w:val="0"/>
        </w:numPr>
        <w:tabs>
          <w:tab w:val="left" w:pos="783"/>
        </w:tabs>
        <w:kinsoku/>
        <w:wordWrap/>
        <w:overflowPunct/>
        <w:topLinePunct w:val="0"/>
        <w:autoSpaceDE/>
        <w:autoSpaceDN/>
        <w:bidi w:val="0"/>
        <w:adjustRightInd w:val="0"/>
        <w:snapToGrid w:val="0"/>
        <w:spacing w:after="0" w:line="460" w:lineRule="atLeast"/>
        <w:ind w:firstLine="422" w:firstLineChars="200"/>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lang w:val="en-US" w:eastAsia="zh-CN"/>
        </w:rPr>
        <w:t>2、</w:t>
      </w:r>
      <w:r>
        <w:rPr>
          <w:rFonts w:hint="eastAsia" w:ascii="宋体" w:hAnsi="宋体" w:eastAsia="宋体" w:cs="宋体"/>
          <w:b/>
          <w:color w:val="auto"/>
          <w:sz w:val="21"/>
          <w:szCs w:val="21"/>
          <w:highlight w:val="none"/>
        </w:rPr>
        <w:t>项目规模：</w:t>
      </w:r>
      <w:r>
        <w:rPr>
          <w:rFonts w:hint="eastAsia" w:ascii="宋体" w:hAnsi="宋体" w:eastAsia="宋体" w:cs="宋体"/>
          <w:color w:val="auto"/>
          <w:sz w:val="21"/>
          <w:szCs w:val="21"/>
          <w:highlight w:val="none"/>
        </w:rPr>
        <w:t>项目</w:t>
      </w:r>
      <w:r>
        <w:rPr>
          <w:rFonts w:hint="eastAsia" w:ascii="宋体" w:hAnsi="宋体" w:cs="宋体"/>
          <w:color w:val="auto"/>
          <w:sz w:val="21"/>
          <w:szCs w:val="21"/>
          <w:highlight w:val="none"/>
          <w:lang w:val="en-US" w:eastAsia="zh-CN"/>
        </w:rPr>
        <w:t>服务费</w:t>
      </w:r>
      <w:r>
        <w:rPr>
          <w:rFonts w:hint="eastAsia" w:ascii="宋体" w:hAnsi="宋体" w:eastAsia="宋体" w:cs="宋体"/>
          <w:color w:val="auto"/>
          <w:sz w:val="21"/>
          <w:szCs w:val="21"/>
          <w:highlight w:val="none"/>
        </w:rPr>
        <w:t>约</w:t>
      </w:r>
      <w:r>
        <w:rPr>
          <w:rFonts w:hint="eastAsia" w:ascii="宋体" w:hAnsi="宋体" w:cs="宋体"/>
          <w:color w:val="auto"/>
          <w:sz w:val="21"/>
          <w:szCs w:val="21"/>
          <w:highlight w:val="none"/>
          <w:u w:val="single"/>
          <w:lang w:val="en-US" w:eastAsia="zh-CN"/>
        </w:rPr>
        <w:t>30</w:t>
      </w:r>
      <w:r>
        <w:rPr>
          <w:rFonts w:hint="eastAsia" w:ascii="宋体" w:hAnsi="宋体" w:eastAsia="宋体" w:cs="宋体"/>
          <w:color w:val="auto"/>
          <w:sz w:val="21"/>
          <w:szCs w:val="21"/>
          <w:highlight w:val="none"/>
        </w:rPr>
        <w:t>万元。</w:t>
      </w:r>
    </w:p>
    <w:p w14:paraId="7B979E6F">
      <w:pPr>
        <w:pStyle w:val="11"/>
        <w:keepNext w:val="0"/>
        <w:keepLines w:val="0"/>
        <w:pageBreakBefore w:val="0"/>
        <w:widowControl w:val="0"/>
        <w:numPr>
          <w:ilvl w:val="0"/>
          <w:numId w:val="0"/>
        </w:numPr>
        <w:tabs>
          <w:tab w:val="left" w:pos="783"/>
        </w:tabs>
        <w:kinsoku/>
        <w:wordWrap/>
        <w:overflowPunct/>
        <w:topLinePunct w:val="0"/>
        <w:autoSpaceDE/>
        <w:autoSpaceDN/>
        <w:bidi w:val="0"/>
        <w:adjustRightInd w:val="0"/>
        <w:snapToGrid w:val="0"/>
        <w:spacing w:after="0" w:line="460" w:lineRule="atLeast"/>
        <w:ind w:firstLine="422" w:firstLineChars="200"/>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lang w:val="en-US" w:eastAsia="zh-CN"/>
        </w:rPr>
        <w:t>3、</w:t>
      </w:r>
      <w:r>
        <w:rPr>
          <w:rFonts w:hint="eastAsia" w:ascii="宋体" w:hAnsi="宋体" w:eastAsia="宋体" w:cs="宋体"/>
          <w:b/>
          <w:color w:val="auto"/>
          <w:sz w:val="21"/>
          <w:szCs w:val="21"/>
          <w:highlight w:val="none"/>
        </w:rPr>
        <w:t>项目地点：</w:t>
      </w:r>
      <w:r>
        <w:rPr>
          <w:rFonts w:hint="eastAsia" w:ascii="宋体" w:hAnsi="宋体" w:eastAsia="宋体" w:cs="宋体"/>
          <w:color w:val="auto"/>
          <w:sz w:val="21"/>
          <w:szCs w:val="21"/>
          <w:highlight w:val="none"/>
        </w:rPr>
        <w:t>盐城国际会展中心</w:t>
      </w:r>
      <w:r>
        <w:rPr>
          <w:rFonts w:hint="eastAsia" w:ascii="宋体" w:hAnsi="宋体" w:eastAsia="宋体" w:cs="宋体"/>
          <w:color w:val="auto"/>
          <w:sz w:val="21"/>
          <w:szCs w:val="21"/>
          <w:highlight w:val="none"/>
          <w:lang w:eastAsia="zh-CN"/>
        </w:rPr>
        <w:t>。</w:t>
      </w:r>
    </w:p>
    <w:p w14:paraId="34D10131">
      <w:pPr>
        <w:pStyle w:val="11"/>
        <w:keepNext w:val="0"/>
        <w:keepLines w:val="0"/>
        <w:pageBreakBefore w:val="0"/>
        <w:widowControl w:val="0"/>
        <w:numPr>
          <w:ilvl w:val="0"/>
          <w:numId w:val="0"/>
        </w:numPr>
        <w:tabs>
          <w:tab w:val="left" w:pos="783"/>
        </w:tabs>
        <w:kinsoku/>
        <w:wordWrap/>
        <w:overflowPunct/>
        <w:topLinePunct w:val="0"/>
        <w:autoSpaceDE/>
        <w:autoSpaceDN/>
        <w:bidi w:val="0"/>
        <w:adjustRightInd w:val="0"/>
        <w:snapToGrid w:val="0"/>
        <w:spacing w:after="0" w:line="460" w:lineRule="atLeast"/>
        <w:ind w:firstLine="422" w:firstLineChars="200"/>
        <w:textAlignment w:val="auto"/>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lang w:val="en-US" w:eastAsia="zh-CN"/>
        </w:rPr>
        <w:t>4、</w:t>
      </w:r>
      <w:r>
        <w:rPr>
          <w:rFonts w:hint="eastAsia" w:ascii="宋体" w:hAnsi="宋体" w:eastAsia="宋体" w:cs="宋体"/>
          <w:b/>
          <w:color w:val="auto"/>
          <w:sz w:val="21"/>
          <w:szCs w:val="21"/>
          <w:highlight w:val="none"/>
        </w:rPr>
        <w:t>服务期</w:t>
      </w:r>
      <w:r>
        <w:rPr>
          <w:rFonts w:hint="eastAsia" w:ascii="宋体" w:hAnsi="宋体" w:eastAsia="宋体" w:cs="宋体"/>
          <w:color w:val="auto"/>
          <w:sz w:val="21"/>
          <w:szCs w:val="21"/>
          <w:highlight w:val="none"/>
        </w:rPr>
        <w:t>：一年</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2026.3.29-2027.3.28</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，含一个月试用期。试用期内，若维保单位的服务质量、人员配置、技术能力等未满足本需求书约定的使用需求或服务能力不足，</w:t>
      </w:r>
      <w:r>
        <w:rPr>
          <w:rFonts w:hint="eastAsia" w:ascii="宋体" w:hAnsi="宋体" w:eastAsia="宋体" w:cs="宋体"/>
          <w:color w:val="auto"/>
          <w:sz w:val="21"/>
          <w:szCs w:val="21"/>
          <w:highlight w:val="none"/>
          <w:lang w:val="en-US" w:eastAsia="zh-CN"/>
        </w:rPr>
        <w:t>招标人</w:t>
      </w:r>
      <w:r>
        <w:rPr>
          <w:rFonts w:hint="eastAsia" w:ascii="宋体" w:hAnsi="宋体" w:eastAsia="宋体" w:cs="宋体"/>
          <w:color w:val="auto"/>
          <w:sz w:val="21"/>
          <w:szCs w:val="21"/>
          <w:highlight w:val="none"/>
        </w:rPr>
        <w:t>有权将其清退，且无需支付任何服务费，维保单位需在清退通知下达后3个工作日内完成所有服务交接工作，不得影响会展中心正常运营。</w:t>
      </w:r>
    </w:p>
    <w:p w14:paraId="28CD2569">
      <w:pPr>
        <w:pStyle w:val="11"/>
        <w:keepNext w:val="0"/>
        <w:keepLines w:val="0"/>
        <w:pageBreakBefore w:val="0"/>
        <w:widowControl w:val="0"/>
        <w:numPr>
          <w:ilvl w:val="0"/>
          <w:numId w:val="0"/>
        </w:numPr>
        <w:tabs>
          <w:tab w:val="left" w:pos="783"/>
        </w:tabs>
        <w:kinsoku/>
        <w:wordWrap/>
        <w:overflowPunct/>
        <w:topLinePunct w:val="0"/>
        <w:autoSpaceDE/>
        <w:autoSpaceDN/>
        <w:bidi w:val="0"/>
        <w:adjustRightInd w:val="0"/>
        <w:snapToGrid w:val="0"/>
        <w:spacing w:after="0" w:line="460" w:lineRule="atLeast"/>
        <w:ind w:firstLine="422" w:firstLineChars="200"/>
        <w:textAlignment w:val="auto"/>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lang w:val="en-US" w:eastAsia="zh-CN"/>
        </w:rPr>
        <w:t>5、</w:t>
      </w:r>
      <w:r>
        <w:rPr>
          <w:rFonts w:hint="eastAsia" w:ascii="宋体" w:hAnsi="宋体" w:eastAsia="宋体" w:cs="宋体"/>
          <w:b/>
          <w:color w:val="auto"/>
          <w:sz w:val="21"/>
          <w:szCs w:val="21"/>
          <w:highlight w:val="none"/>
        </w:rPr>
        <w:t>质量要求及验收标准</w:t>
      </w:r>
      <w:r>
        <w:rPr>
          <w:rFonts w:hint="eastAsia" w:ascii="宋体" w:hAnsi="宋体" w:eastAsia="宋体" w:cs="宋体"/>
          <w:color w:val="auto"/>
          <w:sz w:val="21"/>
          <w:szCs w:val="21"/>
          <w:highlight w:val="none"/>
        </w:rPr>
        <w:t>：合格标准，维保服务须符合国家相关标准及招标人审批的维保方案，确保所有设备稳定运行。每月考核得分≥85分为合格，60-84分为基本合格，&lt;60分为不合格；重大活动保障发生2次及以上事故，招标人有权直接终止合同。验收时需提供完整的维保记录、检测报告及验收清单，经招标人签字确认后视为验收合格。</w:t>
      </w:r>
    </w:p>
    <w:p w14:paraId="4D5A0948">
      <w:pPr>
        <w:pStyle w:val="11"/>
        <w:keepNext w:val="0"/>
        <w:keepLines w:val="0"/>
        <w:pageBreakBefore w:val="0"/>
        <w:widowControl w:val="0"/>
        <w:numPr>
          <w:ilvl w:val="0"/>
          <w:numId w:val="0"/>
        </w:numPr>
        <w:tabs>
          <w:tab w:val="left" w:pos="783"/>
        </w:tabs>
        <w:kinsoku/>
        <w:wordWrap/>
        <w:overflowPunct/>
        <w:topLinePunct w:val="0"/>
        <w:autoSpaceDE/>
        <w:autoSpaceDN/>
        <w:bidi w:val="0"/>
        <w:adjustRightInd w:val="0"/>
        <w:snapToGrid w:val="0"/>
        <w:spacing w:after="0" w:line="460" w:lineRule="atLeast"/>
        <w:ind w:firstLine="422" w:firstLineChars="200"/>
        <w:textAlignment w:val="auto"/>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lang w:val="en-US" w:eastAsia="zh-CN"/>
        </w:rPr>
        <w:t>6、</w:t>
      </w:r>
      <w:r>
        <w:rPr>
          <w:rFonts w:hint="eastAsia" w:ascii="宋体" w:hAnsi="宋体" w:eastAsia="宋体" w:cs="宋体"/>
          <w:b/>
          <w:color w:val="auto"/>
          <w:sz w:val="21"/>
          <w:szCs w:val="21"/>
          <w:highlight w:val="none"/>
        </w:rPr>
        <w:t>标段划分</w:t>
      </w:r>
      <w:r>
        <w:rPr>
          <w:rFonts w:hint="eastAsia" w:ascii="宋体" w:hAnsi="宋体" w:eastAsia="宋体" w:cs="宋体"/>
          <w:color w:val="auto"/>
          <w:sz w:val="21"/>
          <w:szCs w:val="21"/>
          <w:highlight w:val="none"/>
        </w:rPr>
        <w:t>：一个标段。</w:t>
      </w:r>
    </w:p>
    <w:p w14:paraId="0F80BD28">
      <w:pPr>
        <w:pStyle w:val="11"/>
        <w:keepNext w:val="0"/>
        <w:keepLines w:val="0"/>
        <w:pageBreakBefore w:val="0"/>
        <w:widowControl w:val="0"/>
        <w:numPr>
          <w:ilvl w:val="0"/>
          <w:numId w:val="1"/>
        </w:numPr>
        <w:tabs>
          <w:tab w:val="left" w:pos="963"/>
        </w:tabs>
        <w:kinsoku/>
        <w:wordWrap/>
        <w:overflowPunct/>
        <w:topLinePunct w:val="0"/>
        <w:autoSpaceDE/>
        <w:autoSpaceDN/>
        <w:bidi w:val="0"/>
        <w:adjustRightInd w:val="0"/>
        <w:snapToGrid w:val="0"/>
        <w:spacing w:after="0" w:line="460" w:lineRule="atLeast"/>
        <w:ind w:left="0" w:leftChars="0" w:firstLine="422" w:firstLineChars="200"/>
        <w:textAlignment w:val="auto"/>
        <w:rPr>
          <w:rFonts w:hint="eastAsia" w:ascii="宋体" w:hAnsi="宋体" w:eastAsia="宋体" w:cs="宋体"/>
          <w:b/>
          <w:color w:val="auto"/>
          <w:sz w:val="21"/>
          <w:szCs w:val="21"/>
          <w:highlight w:val="none"/>
        </w:rPr>
      </w:pPr>
      <w:bookmarkStart w:id="7" w:name="heading_3"/>
      <w:r>
        <w:rPr>
          <w:rFonts w:hint="eastAsia" w:ascii="宋体" w:hAnsi="宋体" w:eastAsia="宋体" w:cs="宋体"/>
          <w:b/>
          <w:color w:val="auto"/>
          <w:sz w:val="21"/>
          <w:szCs w:val="21"/>
          <w:highlight w:val="none"/>
        </w:rPr>
        <w:t>投标人资格要求</w:t>
      </w:r>
      <w:bookmarkEnd w:id="7"/>
    </w:p>
    <w:p w14:paraId="286F3561">
      <w:pPr>
        <w:pStyle w:val="11"/>
        <w:keepNext w:val="0"/>
        <w:keepLines w:val="0"/>
        <w:pageBreakBefore w:val="0"/>
        <w:widowControl w:val="0"/>
        <w:numPr>
          <w:ilvl w:val="0"/>
          <w:numId w:val="0"/>
        </w:numPr>
        <w:tabs>
          <w:tab w:val="left" w:pos="780"/>
        </w:tabs>
        <w:kinsoku/>
        <w:wordWrap/>
        <w:overflowPunct/>
        <w:topLinePunct w:val="0"/>
        <w:autoSpaceDE/>
        <w:autoSpaceDN/>
        <w:bidi w:val="0"/>
        <w:adjustRightInd w:val="0"/>
        <w:snapToGrid w:val="0"/>
        <w:spacing w:after="0" w:line="460" w:lineRule="atLeas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投标人须具备以下资质、资格等要求，并在人员、设备、资金等方面具有相应的项目实施能力。</w:t>
      </w:r>
    </w:p>
    <w:p w14:paraId="0396311B">
      <w:pPr>
        <w:pStyle w:val="11"/>
        <w:keepNext w:val="0"/>
        <w:keepLines w:val="0"/>
        <w:pageBreakBefore w:val="0"/>
        <w:widowControl w:val="0"/>
        <w:numPr>
          <w:ilvl w:val="0"/>
          <w:numId w:val="0"/>
        </w:numPr>
        <w:tabs>
          <w:tab w:val="left" w:pos="1080"/>
        </w:tabs>
        <w:kinsoku/>
        <w:wordWrap/>
        <w:overflowPunct/>
        <w:topLinePunct w:val="0"/>
        <w:autoSpaceDE/>
        <w:autoSpaceDN/>
        <w:bidi w:val="0"/>
        <w:adjustRightInd w:val="0"/>
        <w:snapToGrid w:val="0"/>
        <w:spacing w:after="0" w:line="460" w:lineRule="atLeast"/>
        <w:ind w:leftChars="200"/>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1.1</w:t>
      </w:r>
      <w:r>
        <w:rPr>
          <w:rFonts w:hint="eastAsia" w:ascii="宋体" w:hAnsi="宋体" w:eastAsia="宋体" w:cs="宋体"/>
          <w:color w:val="auto"/>
          <w:sz w:val="21"/>
          <w:szCs w:val="21"/>
          <w:highlight w:val="none"/>
        </w:rPr>
        <w:t>投标人资格要求：</w:t>
      </w:r>
      <w:r>
        <w:rPr>
          <w:rFonts w:hint="eastAsia" w:ascii="宋体" w:hAnsi="宋体" w:cs="宋体"/>
          <w:color w:val="auto"/>
          <w:sz w:val="21"/>
          <w:szCs w:val="21"/>
          <w:highlight w:val="none"/>
          <w:lang w:val="en-US" w:eastAsia="zh-CN"/>
        </w:rPr>
        <w:t>在</w:t>
      </w:r>
      <w:r>
        <w:rPr>
          <w:rFonts w:hint="eastAsia" w:ascii="宋体" w:hAnsi="宋体" w:eastAsia="宋体" w:cs="宋体"/>
          <w:color w:val="auto"/>
          <w:sz w:val="21"/>
          <w:szCs w:val="21"/>
          <w:highlight w:val="none"/>
        </w:rPr>
        <w:t>中国境内注册的独立法人，具有建设行政主管部门核发的电子与智能</w:t>
      </w:r>
    </w:p>
    <w:p w14:paraId="6FA0E5BD">
      <w:pPr>
        <w:pStyle w:val="11"/>
        <w:keepNext w:val="0"/>
        <w:keepLines w:val="0"/>
        <w:pageBreakBefore w:val="0"/>
        <w:widowControl w:val="0"/>
        <w:numPr>
          <w:ilvl w:val="0"/>
          <w:numId w:val="0"/>
        </w:numPr>
        <w:tabs>
          <w:tab w:val="left" w:pos="1080"/>
        </w:tabs>
        <w:kinsoku/>
        <w:wordWrap/>
        <w:overflowPunct/>
        <w:topLinePunct w:val="0"/>
        <w:autoSpaceDE/>
        <w:autoSpaceDN/>
        <w:bidi w:val="0"/>
        <w:adjustRightInd w:val="0"/>
        <w:snapToGrid w:val="0"/>
        <w:spacing w:after="0" w:line="460" w:lineRule="atLeast"/>
        <w:textAlignment w:val="auto"/>
        <w:rPr>
          <w:rFonts w:hint="eastAsia" w:ascii="宋体" w:hAnsi="宋体" w:eastAsia="宋体" w:cs="宋体"/>
          <w:b w:val="0"/>
          <w:color w:val="auto"/>
          <w:sz w:val="21"/>
          <w:szCs w:val="21"/>
          <w:highlight w:val="none"/>
        </w:rPr>
      </w:pPr>
      <w:r>
        <w:rPr>
          <w:rFonts w:hint="eastAsia" w:ascii="宋体" w:hAnsi="宋体" w:eastAsia="宋体" w:cs="宋体"/>
          <w:color w:val="auto"/>
          <w:sz w:val="21"/>
          <w:szCs w:val="21"/>
          <w:highlight w:val="none"/>
        </w:rPr>
        <w:t>化工程专业承包二级及以上资质，并持有有效的安全生产许可证。</w:t>
      </w:r>
    </w:p>
    <w:p w14:paraId="65AC7167">
      <w:pPr>
        <w:pStyle w:val="11"/>
        <w:keepNext w:val="0"/>
        <w:keepLines w:val="0"/>
        <w:pageBreakBefore w:val="0"/>
        <w:widowControl w:val="0"/>
        <w:numPr>
          <w:ilvl w:val="0"/>
          <w:numId w:val="0"/>
        </w:numPr>
        <w:tabs>
          <w:tab w:val="left" w:pos="1080"/>
        </w:tabs>
        <w:kinsoku/>
        <w:wordWrap/>
        <w:overflowPunct/>
        <w:topLinePunct w:val="0"/>
        <w:autoSpaceDE/>
        <w:autoSpaceDN/>
        <w:bidi w:val="0"/>
        <w:adjustRightInd w:val="0"/>
        <w:snapToGrid w:val="0"/>
        <w:spacing w:after="0" w:line="460" w:lineRule="atLeast"/>
        <w:ind w:firstLine="420" w:firstLineChars="200"/>
        <w:textAlignment w:val="auto"/>
        <w:rPr>
          <w:rFonts w:hint="eastAsia" w:ascii="宋体" w:hAnsi="宋体" w:eastAsia="宋体" w:cs="宋体"/>
          <w:b w:val="0"/>
          <w:color w:val="auto"/>
          <w:sz w:val="21"/>
          <w:szCs w:val="21"/>
          <w:highlight w:val="none"/>
          <w:lang w:eastAsia="zh-CN"/>
        </w:rPr>
      </w:pPr>
      <w:r>
        <w:rPr>
          <w:rFonts w:hint="eastAsia" w:ascii="宋体" w:hAnsi="宋体" w:cs="宋体"/>
          <w:color w:val="auto"/>
          <w:sz w:val="21"/>
          <w:szCs w:val="21"/>
          <w:highlight w:val="none"/>
          <w:lang w:val="en-US" w:eastAsia="zh-CN"/>
        </w:rPr>
        <w:t>1.2</w:t>
      </w:r>
      <w:r>
        <w:rPr>
          <w:rFonts w:hint="eastAsia" w:ascii="宋体" w:hAnsi="宋体" w:eastAsia="宋体" w:cs="宋体"/>
          <w:color w:val="auto"/>
          <w:sz w:val="21"/>
          <w:szCs w:val="21"/>
          <w:highlight w:val="none"/>
        </w:rPr>
        <w:t>项目负责人资格要求：必须是投标人本单位正式职工，并具有机电工程专业二级及以上注册建造师资格，同时具有有效的安全生产考核合格证书(B类)。</w:t>
      </w:r>
    </w:p>
    <w:p w14:paraId="5F422D6A">
      <w:pPr>
        <w:pStyle w:val="11"/>
        <w:keepNext w:val="0"/>
        <w:keepLines w:val="0"/>
        <w:pageBreakBefore w:val="0"/>
        <w:widowControl w:val="0"/>
        <w:numPr>
          <w:ilvl w:val="0"/>
          <w:numId w:val="0"/>
        </w:numPr>
        <w:tabs>
          <w:tab w:val="left" w:pos="1080"/>
        </w:tabs>
        <w:kinsoku/>
        <w:wordWrap/>
        <w:overflowPunct/>
        <w:topLinePunct w:val="0"/>
        <w:autoSpaceDE/>
        <w:autoSpaceDN/>
        <w:bidi w:val="0"/>
        <w:adjustRightInd w:val="0"/>
        <w:snapToGrid w:val="0"/>
        <w:spacing w:after="0" w:line="460" w:lineRule="atLeast"/>
        <w:ind w:firstLine="420" w:firstLineChars="200"/>
        <w:textAlignment w:val="auto"/>
        <w:rPr>
          <w:rFonts w:hint="eastAsia" w:ascii="宋体" w:hAnsi="宋体" w:eastAsia="宋体" w:cs="宋体"/>
          <w:b w:val="0"/>
          <w:color w:val="auto"/>
          <w:sz w:val="21"/>
          <w:szCs w:val="21"/>
          <w:highlight w:val="none"/>
        </w:rPr>
      </w:pPr>
      <w:r>
        <w:rPr>
          <w:rFonts w:hint="eastAsia" w:ascii="宋体" w:hAnsi="宋体" w:cs="宋体"/>
          <w:color w:val="auto"/>
          <w:sz w:val="21"/>
          <w:szCs w:val="21"/>
          <w:highlight w:val="none"/>
          <w:lang w:val="en-US" w:eastAsia="zh-CN"/>
        </w:rPr>
        <w:t>1.3</w:t>
      </w:r>
      <w:r>
        <w:rPr>
          <w:rFonts w:hint="eastAsia" w:ascii="宋体" w:hAnsi="宋体" w:eastAsia="宋体" w:cs="宋体"/>
          <w:color w:val="auto"/>
          <w:sz w:val="21"/>
          <w:szCs w:val="21"/>
          <w:highlight w:val="none"/>
        </w:rPr>
        <w:t>投标申请人须保证项目负责人</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委托代理人均为本单位的正式职工，并确保从2025年</w:t>
      </w:r>
      <w:r>
        <w:rPr>
          <w:rFonts w:hint="eastAsia" w:ascii="宋体" w:hAnsi="宋体" w:cs="宋体"/>
          <w:color w:val="auto"/>
          <w:sz w:val="21"/>
          <w:szCs w:val="21"/>
          <w:highlight w:val="none"/>
          <w:lang w:val="en-US" w:eastAsia="zh-CN"/>
        </w:rPr>
        <w:t>11</w:t>
      </w:r>
      <w:r>
        <w:rPr>
          <w:rFonts w:hint="eastAsia" w:ascii="宋体" w:hAnsi="宋体" w:eastAsia="宋体" w:cs="宋体"/>
          <w:color w:val="auto"/>
          <w:sz w:val="21"/>
          <w:szCs w:val="21"/>
          <w:highlight w:val="none"/>
        </w:rPr>
        <w:t>月开始至投标截止之日当月至少1个月均已在本单位缴纳养老保险（退休人员有所在单位相关证明）。</w:t>
      </w:r>
    </w:p>
    <w:p w14:paraId="789D0DE1">
      <w:pPr>
        <w:pStyle w:val="11"/>
        <w:keepNext w:val="0"/>
        <w:keepLines w:val="0"/>
        <w:pageBreakBefore w:val="0"/>
        <w:widowControl w:val="0"/>
        <w:numPr>
          <w:ilvl w:val="0"/>
          <w:numId w:val="0"/>
        </w:numPr>
        <w:tabs>
          <w:tab w:val="left" w:pos="780"/>
        </w:tabs>
        <w:kinsoku/>
        <w:wordWrap/>
        <w:overflowPunct/>
        <w:topLinePunct w:val="0"/>
        <w:autoSpaceDE/>
        <w:autoSpaceDN/>
        <w:bidi w:val="0"/>
        <w:adjustRightInd w:val="0"/>
        <w:snapToGrid w:val="0"/>
        <w:spacing w:after="0" w:line="460" w:lineRule="atLeas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财务要求：投标人应具有独立订立合同的能力，未处于财产被接管、冻结和破产状态。</w:t>
      </w:r>
    </w:p>
    <w:p w14:paraId="03FDCA99">
      <w:pPr>
        <w:pStyle w:val="11"/>
        <w:keepNext w:val="0"/>
        <w:keepLines w:val="0"/>
        <w:pageBreakBefore w:val="0"/>
        <w:widowControl w:val="0"/>
        <w:numPr>
          <w:ilvl w:val="0"/>
          <w:numId w:val="0"/>
        </w:numPr>
        <w:tabs>
          <w:tab w:val="left" w:pos="780"/>
        </w:tabs>
        <w:kinsoku/>
        <w:wordWrap/>
        <w:overflowPunct/>
        <w:topLinePunct w:val="0"/>
        <w:autoSpaceDE/>
        <w:autoSpaceDN/>
        <w:bidi w:val="0"/>
        <w:adjustRightInd w:val="0"/>
        <w:snapToGrid w:val="0"/>
        <w:spacing w:after="0" w:line="460" w:lineRule="atLeas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信誉要求：投标人不得存在下列情形：</w:t>
      </w:r>
    </w:p>
    <w:p w14:paraId="7BD89D52">
      <w:pPr>
        <w:pStyle w:val="11"/>
        <w:keepNext w:val="0"/>
        <w:keepLines w:val="0"/>
        <w:pageBreakBefore w:val="0"/>
        <w:widowControl w:val="0"/>
        <w:numPr>
          <w:ilvl w:val="0"/>
          <w:numId w:val="2"/>
        </w:numPr>
        <w:tabs>
          <w:tab w:val="left" w:pos="1080"/>
        </w:tabs>
        <w:kinsoku/>
        <w:wordWrap/>
        <w:overflowPunct/>
        <w:topLinePunct w:val="0"/>
        <w:autoSpaceDE/>
        <w:autoSpaceDN/>
        <w:bidi w:val="0"/>
        <w:adjustRightInd w:val="0"/>
        <w:snapToGrid w:val="0"/>
        <w:spacing w:after="0" w:line="460" w:lineRule="atLeast"/>
        <w:ind w:left="0" w:leftChars="0" w:firstLine="420" w:firstLineChars="200"/>
        <w:textAlignment w:val="auto"/>
        <w:rPr>
          <w:rFonts w:hint="eastAsia" w:ascii="宋体" w:hAnsi="宋体" w:eastAsia="宋体" w:cs="宋体"/>
          <w:b w:val="0"/>
          <w:color w:val="auto"/>
          <w:sz w:val="21"/>
          <w:szCs w:val="21"/>
          <w:highlight w:val="none"/>
        </w:rPr>
      </w:pPr>
      <w:r>
        <w:rPr>
          <w:rFonts w:hint="eastAsia" w:ascii="宋体" w:hAnsi="宋体" w:eastAsia="宋体" w:cs="宋体"/>
          <w:color w:val="auto"/>
          <w:sz w:val="21"/>
          <w:szCs w:val="21"/>
          <w:highlight w:val="none"/>
        </w:rPr>
        <w:t>被国家、江苏本省省级有关部门及盐城本市市级、盐城经济技术开发区区级有关部门暂停招投标或市场准入资格且在公示处罚期内的。</w:t>
      </w:r>
    </w:p>
    <w:p w14:paraId="4DB53E5B">
      <w:pPr>
        <w:pStyle w:val="11"/>
        <w:keepNext w:val="0"/>
        <w:keepLines w:val="0"/>
        <w:pageBreakBefore w:val="0"/>
        <w:widowControl w:val="0"/>
        <w:numPr>
          <w:ilvl w:val="0"/>
          <w:numId w:val="2"/>
        </w:numPr>
        <w:tabs>
          <w:tab w:val="left" w:pos="1080"/>
        </w:tabs>
        <w:kinsoku/>
        <w:wordWrap/>
        <w:overflowPunct/>
        <w:topLinePunct w:val="0"/>
        <w:autoSpaceDE/>
        <w:autoSpaceDN/>
        <w:bidi w:val="0"/>
        <w:adjustRightInd w:val="0"/>
        <w:snapToGrid w:val="0"/>
        <w:spacing w:after="0" w:line="460" w:lineRule="atLeast"/>
        <w:ind w:left="0" w:leftChars="0" w:firstLine="420" w:firstLineChars="200"/>
        <w:textAlignment w:val="auto"/>
        <w:rPr>
          <w:rFonts w:hint="eastAsia" w:ascii="宋体" w:hAnsi="宋体" w:eastAsia="宋体" w:cs="宋体"/>
          <w:b w:val="0"/>
          <w:color w:val="auto"/>
          <w:sz w:val="21"/>
          <w:szCs w:val="21"/>
          <w:highlight w:val="none"/>
        </w:rPr>
      </w:pPr>
      <w:r>
        <w:rPr>
          <w:rFonts w:hint="eastAsia" w:ascii="宋体" w:hAnsi="宋体" w:eastAsia="宋体" w:cs="宋体"/>
          <w:color w:val="auto"/>
          <w:sz w:val="21"/>
          <w:szCs w:val="21"/>
          <w:highlight w:val="none"/>
        </w:rPr>
        <w:t>近3年内有行贿犯罪行为且被记录，或者法定代表人有行贿犯罪记录且自记录之日起未超过5年的（均自记录之日起至投标截止日止）。</w:t>
      </w:r>
    </w:p>
    <w:p w14:paraId="2135C7B8">
      <w:pPr>
        <w:pStyle w:val="11"/>
        <w:keepNext w:val="0"/>
        <w:keepLines w:val="0"/>
        <w:pageBreakBefore w:val="0"/>
        <w:widowControl w:val="0"/>
        <w:numPr>
          <w:ilvl w:val="0"/>
          <w:numId w:val="2"/>
        </w:numPr>
        <w:tabs>
          <w:tab w:val="left" w:pos="1080"/>
        </w:tabs>
        <w:kinsoku/>
        <w:wordWrap/>
        <w:overflowPunct/>
        <w:topLinePunct w:val="0"/>
        <w:autoSpaceDE/>
        <w:autoSpaceDN/>
        <w:bidi w:val="0"/>
        <w:adjustRightInd w:val="0"/>
        <w:snapToGrid w:val="0"/>
        <w:spacing w:after="0" w:line="460" w:lineRule="atLeast"/>
        <w:ind w:left="0" w:leftChars="0" w:firstLine="420" w:firstLineChars="200"/>
        <w:textAlignment w:val="auto"/>
        <w:rPr>
          <w:rFonts w:hint="eastAsia" w:ascii="宋体" w:hAnsi="宋体" w:eastAsia="宋体" w:cs="宋体"/>
          <w:b w:val="0"/>
          <w:color w:val="auto"/>
          <w:sz w:val="21"/>
          <w:szCs w:val="21"/>
          <w:highlight w:val="none"/>
        </w:rPr>
      </w:pPr>
      <w:r>
        <w:rPr>
          <w:rFonts w:hint="eastAsia" w:ascii="宋体" w:hAnsi="宋体" w:eastAsia="宋体" w:cs="宋体"/>
          <w:color w:val="auto"/>
          <w:sz w:val="21"/>
          <w:szCs w:val="21"/>
          <w:highlight w:val="none"/>
        </w:rPr>
        <w:t>被人民法院列为失信被执行人的信息正在被“信用中国”“信用江苏”网站公布的，投标截止时间前失信被执行人信息已撤销或更正的除外。</w:t>
      </w:r>
    </w:p>
    <w:p w14:paraId="27F8F869">
      <w:pPr>
        <w:pStyle w:val="11"/>
        <w:keepNext w:val="0"/>
        <w:keepLines w:val="0"/>
        <w:pageBreakBefore w:val="0"/>
        <w:widowControl w:val="0"/>
        <w:numPr>
          <w:ilvl w:val="0"/>
          <w:numId w:val="2"/>
        </w:numPr>
        <w:tabs>
          <w:tab w:val="left" w:pos="1080"/>
        </w:tabs>
        <w:kinsoku/>
        <w:wordWrap/>
        <w:overflowPunct/>
        <w:topLinePunct w:val="0"/>
        <w:autoSpaceDE/>
        <w:autoSpaceDN/>
        <w:bidi w:val="0"/>
        <w:adjustRightInd w:val="0"/>
        <w:snapToGrid w:val="0"/>
        <w:spacing w:after="0" w:line="460" w:lineRule="atLeast"/>
        <w:ind w:left="0" w:leftChars="0" w:firstLine="420" w:firstLineChars="200"/>
        <w:textAlignment w:val="auto"/>
        <w:rPr>
          <w:rFonts w:hint="eastAsia" w:ascii="宋体" w:hAnsi="宋体" w:eastAsia="宋体" w:cs="宋体"/>
          <w:b w:val="0"/>
          <w:color w:val="auto"/>
          <w:sz w:val="21"/>
          <w:szCs w:val="21"/>
          <w:highlight w:val="none"/>
        </w:rPr>
      </w:pPr>
      <w:r>
        <w:rPr>
          <w:rFonts w:hint="eastAsia" w:ascii="宋体" w:hAnsi="宋体" w:eastAsia="宋体" w:cs="宋体"/>
          <w:color w:val="auto"/>
          <w:sz w:val="21"/>
          <w:szCs w:val="21"/>
          <w:highlight w:val="none"/>
        </w:rPr>
        <w:t>投标人作为失信联合惩戒对象被采取依法限制参与建设工程招投标惩戒措施的，且被有关部门推送在“信用中国”“信用江苏”“信用盐城”相关网站公示且在有效期内的。</w:t>
      </w:r>
    </w:p>
    <w:p w14:paraId="32199BCC">
      <w:pPr>
        <w:keepNext w:val="0"/>
        <w:keepLines w:val="0"/>
        <w:pageBreakBefore w:val="0"/>
        <w:widowControl w:val="0"/>
        <w:kinsoku/>
        <w:wordWrap/>
        <w:overflowPunct/>
        <w:topLinePunct w:val="0"/>
        <w:autoSpaceDE/>
        <w:autoSpaceDN/>
        <w:bidi w:val="0"/>
        <w:adjustRightInd w:val="0"/>
        <w:snapToGrid w:val="0"/>
        <w:spacing w:afterAutospacing="0" w:line="460" w:lineRule="atLeast"/>
        <w:ind w:left="0" w:leftChars="0" w:firstLine="420" w:firstLineChars="200"/>
        <w:textAlignment w:val="auto"/>
        <w:rPr>
          <w:rFonts w:hint="eastAsia" w:ascii="宋体" w:hAnsi="宋体" w:eastAsia="宋体" w:cs="宋体"/>
          <w:b w:val="0"/>
          <w:color w:val="auto"/>
          <w:sz w:val="21"/>
          <w:szCs w:val="21"/>
          <w:highlight w:val="none"/>
        </w:rPr>
      </w:pPr>
      <w:r>
        <w:rPr>
          <w:rFonts w:hint="eastAsia" w:ascii="宋体" w:hAnsi="宋体" w:eastAsia="宋体" w:cs="宋体"/>
          <w:color w:val="auto"/>
          <w:sz w:val="21"/>
          <w:szCs w:val="21"/>
          <w:highlight w:val="none"/>
        </w:rPr>
        <w:t>（5）投标人不得存在的其他情形见招标文件投标人须知1.4.3。</w:t>
      </w:r>
    </w:p>
    <w:p w14:paraId="0709FBE8">
      <w:pPr>
        <w:keepNext w:val="0"/>
        <w:keepLines w:val="0"/>
        <w:pageBreakBefore w:val="0"/>
        <w:widowControl w:val="0"/>
        <w:kinsoku/>
        <w:wordWrap/>
        <w:overflowPunct/>
        <w:topLinePunct w:val="0"/>
        <w:autoSpaceDE/>
        <w:autoSpaceDN/>
        <w:bidi w:val="0"/>
        <w:adjustRightInd w:val="0"/>
        <w:snapToGrid w:val="0"/>
        <w:spacing w:afterAutospacing="0" w:line="460" w:lineRule="atLeast"/>
        <w:ind w:left="0" w:leftChars="0" w:firstLine="420" w:firstLineChars="200"/>
        <w:textAlignment w:val="auto"/>
        <w:rPr>
          <w:rFonts w:hint="eastAsia" w:ascii="宋体" w:hAnsi="宋体" w:eastAsia="宋体" w:cs="宋体"/>
          <w:b w:val="0"/>
          <w:color w:val="auto"/>
          <w:sz w:val="21"/>
          <w:szCs w:val="21"/>
          <w:highlight w:val="none"/>
        </w:rPr>
      </w:pPr>
      <w:r>
        <w:rPr>
          <w:rFonts w:hint="eastAsia" w:ascii="宋体" w:hAnsi="宋体" w:eastAsia="宋体" w:cs="宋体"/>
          <w:color w:val="auto"/>
          <w:sz w:val="21"/>
          <w:szCs w:val="21"/>
          <w:highlight w:val="none"/>
        </w:rPr>
        <w:t>凡存在以上情形之一的，本项目招标人拒绝其投标，一经发现资格审查不予通过，不得被确定为中标候选人、中标人。在一次招投标活动中，相关参与人因上述情形，导致其资格预审不通过或者被取消中标候选人资格、中标人资格的，不因其之后情况的变化，改变已经作出的决定。</w:t>
      </w:r>
    </w:p>
    <w:p w14:paraId="43AD68FA">
      <w:pPr>
        <w:keepNext w:val="0"/>
        <w:keepLines w:val="0"/>
        <w:pageBreakBefore w:val="0"/>
        <w:widowControl w:val="0"/>
        <w:kinsoku/>
        <w:wordWrap/>
        <w:overflowPunct/>
        <w:topLinePunct w:val="0"/>
        <w:autoSpaceDE/>
        <w:autoSpaceDN/>
        <w:bidi w:val="0"/>
        <w:adjustRightInd w:val="0"/>
        <w:snapToGrid w:val="0"/>
        <w:spacing w:afterAutospacing="0" w:line="460" w:lineRule="atLeast"/>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投标人应保证符合上述信誉要求，如被证明违反，除按照招标文件处理，还将被视为不诚信行为，由相关部门按规定处理。投标时无须提供证明材料，如有质疑或招标人要求，再按要求提供相关证明材料。</w:t>
      </w:r>
    </w:p>
    <w:p w14:paraId="19A5410B">
      <w:pPr>
        <w:keepNext w:val="0"/>
        <w:keepLines w:val="0"/>
        <w:pageBreakBefore w:val="0"/>
        <w:widowControl w:val="0"/>
        <w:kinsoku/>
        <w:wordWrap/>
        <w:overflowPunct/>
        <w:topLinePunct w:val="0"/>
        <w:autoSpaceDE/>
        <w:autoSpaceDN/>
        <w:bidi w:val="0"/>
        <w:adjustRightInd w:val="0"/>
        <w:snapToGrid w:val="0"/>
        <w:spacing w:afterAutospacing="0" w:line="460" w:lineRule="atLeast"/>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注：投标时无须提供上述</w:t>
      </w:r>
      <w:r>
        <w:rPr>
          <w:rFonts w:hint="eastAsia" w:ascii="宋体" w:hAnsi="宋体" w:eastAsia="宋体" w:cs="宋体"/>
          <w:color w:val="auto"/>
          <w:sz w:val="21"/>
          <w:szCs w:val="21"/>
          <w:highlight w:val="none"/>
          <w:lang w:val="en-US" w:eastAsia="zh-CN"/>
        </w:rPr>
        <w:t>1.3</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项证明材料，如有质疑或招标人要求，再按要求提供相关证明材料。</w:t>
      </w:r>
    </w:p>
    <w:p w14:paraId="192A64CC">
      <w:pPr>
        <w:pStyle w:val="11"/>
        <w:keepNext w:val="0"/>
        <w:keepLines w:val="0"/>
        <w:pageBreakBefore w:val="0"/>
        <w:widowControl w:val="0"/>
        <w:numPr>
          <w:ilvl w:val="0"/>
          <w:numId w:val="0"/>
        </w:numPr>
        <w:tabs>
          <w:tab w:val="left" w:pos="780"/>
        </w:tabs>
        <w:kinsoku/>
        <w:wordWrap/>
        <w:overflowPunct/>
        <w:topLinePunct w:val="0"/>
        <w:autoSpaceDE/>
        <w:autoSpaceDN/>
        <w:bidi w:val="0"/>
        <w:adjustRightInd w:val="0"/>
        <w:snapToGrid w:val="0"/>
        <w:spacing w:after="0" w:line="460" w:lineRule="atLeas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本次招标不接受联合体投标。</w:t>
      </w:r>
    </w:p>
    <w:p w14:paraId="3B87E001">
      <w:pPr>
        <w:pStyle w:val="11"/>
        <w:keepNext w:val="0"/>
        <w:keepLines w:val="0"/>
        <w:pageBreakBefore w:val="0"/>
        <w:widowControl w:val="0"/>
        <w:numPr>
          <w:ilvl w:val="0"/>
          <w:numId w:val="0"/>
        </w:numPr>
        <w:tabs>
          <w:tab w:val="left" w:pos="780"/>
        </w:tabs>
        <w:kinsoku/>
        <w:wordWrap/>
        <w:overflowPunct/>
        <w:topLinePunct w:val="0"/>
        <w:autoSpaceDE/>
        <w:autoSpaceDN/>
        <w:bidi w:val="0"/>
        <w:adjustRightInd w:val="0"/>
        <w:snapToGrid w:val="0"/>
        <w:spacing w:after="0" w:line="460" w:lineRule="atLeas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符合相关法律、法规规定的其他要求。</w:t>
      </w:r>
    </w:p>
    <w:p w14:paraId="3EBE7931">
      <w:pPr>
        <w:pStyle w:val="11"/>
        <w:keepNext w:val="0"/>
        <w:keepLines w:val="0"/>
        <w:pageBreakBefore w:val="0"/>
        <w:widowControl w:val="0"/>
        <w:numPr>
          <w:ilvl w:val="0"/>
          <w:numId w:val="1"/>
        </w:numPr>
        <w:tabs>
          <w:tab w:val="left" w:pos="963"/>
        </w:tabs>
        <w:kinsoku/>
        <w:wordWrap/>
        <w:overflowPunct/>
        <w:topLinePunct w:val="0"/>
        <w:autoSpaceDE/>
        <w:autoSpaceDN/>
        <w:bidi w:val="0"/>
        <w:adjustRightInd w:val="0"/>
        <w:snapToGrid w:val="0"/>
        <w:spacing w:after="0" w:line="460" w:lineRule="atLeast"/>
        <w:ind w:left="0" w:leftChars="0" w:firstLine="422" w:firstLineChars="200"/>
        <w:textAlignment w:val="auto"/>
        <w:rPr>
          <w:rFonts w:hint="eastAsia" w:ascii="宋体" w:hAnsi="宋体" w:eastAsia="宋体" w:cs="宋体"/>
          <w:b/>
          <w:color w:val="auto"/>
          <w:sz w:val="21"/>
          <w:szCs w:val="21"/>
          <w:highlight w:val="none"/>
        </w:rPr>
      </w:pPr>
      <w:bookmarkStart w:id="8" w:name="heading_4"/>
      <w:r>
        <w:rPr>
          <w:rFonts w:hint="eastAsia" w:ascii="宋体" w:hAnsi="宋体" w:eastAsia="宋体" w:cs="宋体"/>
          <w:b/>
          <w:color w:val="auto"/>
          <w:sz w:val="21"/>
          <w:szCs w:val="21"/>
          <w:highlight w:val="none"/>
        </w:rPr>
        <w:t>招标文件及投标报价表等的获取</w:t>
      </w:r>
      <w:bookmarkEnd w:id="8"/>
    </w:p>
    <w:p w14:paraId="63F011D1">
      <w:pPr>
        <w:pStyle w:val="11"/>
        <w:keepNext w:val="0"/>
        <w:keepLines w:val="0"/>
        <w:pageBreakBefore w:val="0"/>
        <w:widowControl w:val="0"/>
        <w:numPr>
          <w:ilvl w:val="0"/>
          <w:numId w:val="0"/>
        </w:numPr>
        <w:tabs>
          <w:tab w:val="left" w:pos="780"/>
        </w:tabs>
        <w:kinsoku/>
        <w:wordWrap/>
        <w:overflowPunct/>
        <w:topLinePunct w:val="0"/>
        <w:autoSpaceDE/>
        <w:autoSpaceDN/>
        <w:bidi w:val="0"/>
        <w:adjustRightInd w:val="0"/>
        <w:snapToGrid w:val="0"/>
        <w:spacing w:after="0" w:line="460" w:lineRule="atLeas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招标文件等资料，投标人可在招标公告附件下载处自行下载。</w:t>
      </w:r>
    </w:p>
    <w:p w14:paraId="13C51EAC">
      <w:pPr>
        <w:pStyle w:val="11"/>
        <w:keepNext w:val="0"/>
        <w:keepLines w:val="0"/>
        <w:pageBreakBefore w:val="0"/>
        <w:widowControl w:val="0"/>
        <w:numPr>
          <w:ilvl w:val="0"/>
          <w:numId w:val="0"/>
        </w:numPr>
        <w:tabs>
          <w:tab w:val="left" w:pos="780"/>
        </w:tabs>
        <w:kinsoku/>
        <w:wordWrap/>
        <w:overflowPunct/>
        <w:topLinePunct w:val="0"/>
        <w:autoSpaceDE/>
        <w:autoSpaceDN/>
        <w:bidi w:val="0"/>
        <w:adjustRightInd w:val="0"/>
        <w:snapToGrid w:val="0"/>
        <w:spacing w:after="0" w:line="460" w:lineRule="atLeas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本招标文件工本费为人民币壹佰元整（￥：100元），投标人在递交投标文件时以现金形式向招标代理机构缴纳。</w:t>
      </w:r>
    </w:p>
    <w:p w14:paraId="2605EDC1">
      <w:pPr>
        <w:pStyle w:val="11"/>
        <w:keepNext w:val="0"/>
        <w:keepLines w:val="0"/>
        <w:pageBreakBefore w:val="0"/>
        <w:widowControl w:val="0"/>
        <w:numPr>
          <w:ilvl w:val="0"/>
          <w:numId w:val="0"/>
        </w:numPr>
        <w:tabs>
          <w:tab w:val="left" w:pos="780"/>
        </w:tabs>
        <w:kinsoku/>
        <w:wordWrap/>
        <w:overflowPunct/>
        <w:topLinePunct w:val="0"/>
        <w:autoSpaceDE/>
        <w:autoSpaceDN/>
        <w:bidi w:val="0"/>
        <w:adjustRightInd w:val="0"/>
        <w:snapToGrid w:val="0"/>
        <w:spacing w:after="0" w:line="460" w:lineRule="atLeast"/>
        <w:ind w:firstLine="422" w:firstLineChars="200"/>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val="en-US" w:eastAsia="zh-CN"/>
        </w:rPr>
        <w:t>3、</w:t>
      </w:r>
      <w:r>
        <w:rPr>
          <w:rFonts w:hint="eastAsia" w:ascii="宋体" w:hAnsi="宋体" w:eastAsia="宋体" w:cs="宋体"/>
          <w:b/>
          <w:bCs/>
          <w:color w:val="auto"/>
          <w:sz w:val="21"/>
          <w:szCs w:val="21"/>
          <w:highlight w:val="none"/>
        </w:rPr>
        <w:t>本项目招标期间，投标人须自行登录</w:t>
      </w:r>
      <w:r>
        <w:rPr>
          <w:rFonts w:hint="eastAsia" w:ascii="宋体" w:hAnsi="宋体" w:eastAsia="宋体" w:cs="宋体"/>
          <w:b/>
          <w:bCs/>
          <w:color w:val="auto"/>
          <w:sz w:val="21"/>
          <w:szCs w:val="21"/>
          <w:highlight w:val="none"/>
          <w:lang w:eastAsia="zh-CN"/>
        </w:rPr>
        <w:t>盐东方集团</w:t>
      </w:r>
      <w:r>
        <w:rPr>
          <w:rFonts w:hint="eastAsia" w:ascii="宋体" w:hAnsi="宋体" w:cs="宋体"/>
          <w:b/>
          <w:bCs/>
          <w:color w:val="auto"/>
          <w:sz w:val="21"/>
          <w:szCs w:val="21"/>
          <w:highlight w:val="none"/>
          <w:lang w:val="en-US" w:eastAsia="zh-CN"/>
        </w:rPr>
        <w:t>网</w:t>
      </w:r>
      <w:r>
        <w:rPr>
          <w:rFonts w:hint="eastAsia" w:ascii="宋体" w:hAnsi="宋体" w:eastAsia="宋体" w:cs="宋体"/>
          <w:b/>
          <w:bCs/>
          <w:color w:val="auto"/>
          <w:sz w:val="21"/>
          <w:szCs w:val="21"/>
          <w:highlight w:val="none"/>
          <w:lang w:eastAsia="zh-CN"/>
        </w:rPr>
        <w:t>（http://www.ycdfjt.com/）</w:t>
      </w:r>
      <w:r>
        <w:rPr>
          <w:rFonts w:hint="eastAsia" w:ascii="宋体" w:hAnsi="宋体" w:eastAsia="宋体" w:cs="宋体"/>
          <w:b/>
          <w:bCs/>
          <w:color w:val="auto"/>
          <w:sz w:val="21"/>
          <w:szCs w:val="21"/>
          <w:highlight w:val="none"/>
          <w:lang w:val="en-US" w:eastAsia="zh-CN"/>
        </w:rPr>
        <w:t>,</w:t>
      </w:r>
      <w:r>
        <w:rPr>
          <w:rFonts w:hint="eastAsia" w:ascii="宋体" w:hAnsi="宋体" w:eastAsia="宋体" w:cs="宋体"/>
          <w:b/>
          <w:bCs/>
          <w:color w:val="auto"/>
          <w:sz w:val="21"/>
          <w:szCs w:val="21"/>
          <w:highlight w:val="none"/>
        </w:rPr>
        <w:t>查询本项目的招标答疑、澄清修改文件、最高投标限价及补充公告、中标结果等，以上内容均在网上发布，不再另行通知，投标人如未及时查看，责任自负。</w:t>
      </w:r>
    </w:p>
    <w:p w14:paraId="27D5D72E">
      <w:pPr>
        <w:pStyle w:val="11"/>
        <w:keepNext w:val="0"/>
        <w:keepLines w:val="0"/>
        <w:pageBreakBefore w:val="0"/>
        <w:widowControl w:val="0"/>
        <w:numPr>
          <w:ilvl w:val="0"/>
          <w:numId w:val="1"/>
        </w:numPr>
        <w:tabs>
          <w:tab w:val="left" w:pos="963"/>
        </w:tabs>
        <w:kinsoku/>
        <w:wordWrap/>
        <w:overflowPunct/>
        <w:topLinePunct w:val="0"/>
        <w:autoSpaceDE/>
        <w:autoSpaceDN/>
        <w:bidi w:val="0"/>
        <w:adjustRightInd w:val="0"/>
        <w:snapToGrid w:val="0"/>
        <w:spacing w:after="0" w:line="460" w:lineRule="atLeast"/>
        <w:ind w:left="0" w:leftChars="0" w:firstLine="422" w:firstLineChars="200"/>
        <w:textAlignment w:val="auto"/>
        <w:rPr>
          <w:rFonts w:hint="eastAsia" w:ascii="宋体" w:hAnsi="宋体" w:eastAsia="宋体" w:cs="宋体"/>
          <w:b/>
          <w:color w:val="auto"/>
          <w:sz w:val="21"/>
          <w:szCs w:val="21"/>
          <w:highlight w:val="none"/>
        </w:rPr>
      </w:pPr>
      <w:bookmarkStart w:id="9" w:name="heading_5"/>
      <w:r>
        <w:rPr>
          <w:rFonts w:hint="eastAsia" w:ascii="宋体" w:hAnsi="宋体" w:eastAsia="宋体" w:cs="宋体"/>
          <w:b/>
          <w:color w:val="auto"/>
          <w:sz w:val="21"/>
          <w:szCs w:val="21"/>
          <w:highlight w:val="none"/>
        </w:rPr>
        <w:t>投标文件递交截止时间、地点和开标时间、地点</w:t>
      </w:r>
      <w:bookmarkEnd w:id="9"/>
    </w:p>
    <w:p w14:paraId="2331AB48">
      <w:pPr>
        <w:pStyle w:val="11"/>
        <w:keepNext w:val="0"/>
        <w:keepLines w:val="0"/>
        <w:pageBreakBefore w:val="0"/>
        <w:widowControl w:val="0"/>
        <w:numPr>
          <w:ilvl w:val="0"/>
          <w:numId w:val="0"/>
        </w:numPr>
        <w:tabs>
          <w:tab w:val="left" w:pos="780"/>
        </w:tabs>
        <w:kinsoku/>
        <w:wordWrap/>
        <w:overflowPunct/>
        <w:topLinePunct w:val="0"/>
        <w:autoSpaceDE/>
        <w:autoSpaceDN/>
        <w:bidi w:val="0"/>
        <w:adjustRightInd w:val="0"/>
        <w:snapToGrid w:val="0"/>
        <w:spacing w:after="0" w:line="460" w:lineRule="atLeas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投标文件递交截止时间（投标截止时间）：202</w:t>
      </w: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rPr>
        <w:t>年</w:t>
      </w: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rPr>
        <w:t>月</w:t>
      </w: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rPr>
        <w:t>日</w:t>
      </w:r>
      <w:r>
        <w:rPr>
          <w:rFonts w:hint="eastAsia" w:ascii="宋体" w:hAnsi="宋体" w:cs="宋体"/>
          <w:color w:val="auto"/>
          <w:sz w:val="21"/>
          <w:szCs w:val="21"/>
          <w:highlight w:val="none"/>
          <w:lang w:val="en-US" w:eastAsia="zh-CN"/>
        </w:rPr>
        <w:t>9</w:t>
      </w:r>
      <w:r>
        <w:rPr>
          <w:rFonts w:hint="eastAsia" w:ascii="宋体" w:hAnsi="宋体" w:eastAsia="宋体" w:cs="宋体"/>
          <w:color w:val="auto"/>
          <w:sz w:val="21"/>
          <w:szCs w:val="21"/>
          <w:highlight w:val="none"/>
        </w:rPr>
        <w:t xml:space="preserve"> 时 00 分。</w:t>
      </w:r>
    </w:p>
    <w:p w14:paraId="525881A8">
      <w:pPr>
        <w:pStyle w:val="11"/>
        <w:keepNext w:val="0"/>
        <w:keepLines w:val="0"/>
        <w:pageBreakBefore w:val="0"/>
        <w:widowControl w:val="0"/>
        <w:numPr>
          <w:ilvl w:val="0"/>
          <w:numId w:val="0"/>
        </w:numPr>
        <w:tabs>
          <w:tab w:val="left" w:pos="780"/>
        </w:tabs>
        <w:kinsoku/>
        <w:wordWrap/>
        <w:overflowPunct/>
        <w:topLinePunct w:val="0"/>
        <w:autoSpaceDE/>
        <w:autoSpaceDN/>
        <w:bidi w:val="0"/>
        <w:adjustRightInd w:val="0"/>
        <w:snapToGrid w:val="0"/>
        <w:spacing w:after="0" w:line="460" w:lineRule="atLeast"/>
        <w:ind w:firstLine="420" w:firstLineChars="200"/>
        <w:textAlignment w:val="auto"/>
        <w:rPr>
          <w:rFonts w:hint="eastAsia" w:ascii="宋体" w:hAnsi="宋体" w:eastAsia="宋体" w:cs="宋体"/>
          <w:b/>
          <w:bCs/>
          <w:color w:val="auto"/>
          <w:sz w:val="21"/>
          <w:szCs w:val="21"/>
          <w:highlight w:val="none"/>
        </w:rPr>
      </w:pP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投标文件递交地点：</w:t>
      </w:r>
      <w:r>
        <w:rPr>
          <w:rFonts w:hint="eastAsia" w:ascii="宋体" w:hAnsi="宋体" w:eastAsia="宋体" w:cs="宋体"/>
          <w:b w:val="0"/>
          <w:bCs w:val="0"/>
          <w:color w:val="auto"/>
          <w:sz w:val="21"/>
          <w:szCs w:val="21"/>
          <w:highlight w:val="none"/>
        </w:rPr>
        <w:t>盐城市希望大道南路5号国际软件园6号楼B座六楼开标室</w:t>
      </w:r>
      <w:r>
        <w:rPr>
          <w:rFonts w:hint="eastAsia" w:ascii="宋体" w:hAnsi="宋体" w:eastAsia="宋体" w:cs="宋体"/>
          <w:b/>
          <w:bCs/>
          <w:color w:val="auto"/>
          <w:sz w:val="21"/>
          <w:szCs w:val="21"/>
          <w:highlight w:val="none"/>
        </w:rPr>
        <w:t>。</w:t>
      </w:r>
    </w:p>
    <w:p w14:paraId="0DD5E2CC">
      <w:pPr>
        <w:pStyle w:val="11"/>
        <w:keepNext w:val="0"/>
        <w:keepLines w:val="0"/>
        <w:pageBreakBefore w:val="0"/>
        <w:widowControl w:val="0"/>
        <w:numPr>
          <w:ilvl w:val="0"/>
          <w:numId w:val="0"/>
        </w:numPr>
        <w:tabs>
          <w:tab w:val="left" w:pos="780"/>
        </w:tabs>
        <w:kinsoku/>
        <w:wordWrap/>
        <w:overflowPunct/>
        <w:topLinePunct w:val="0"/>
        <w:autoSpaceDE/>
        <w:autoSpaceDN/>
        <w:bidi w:val="0"/>
        <w:adjustRightInd w:val="0"/>
        <w:snapToGrid w:val="0"/>
        <w:spacing w:after="0" w:line="460" w:lineRule="atLeas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开标时间：同投标截止时间。</w:t>
      </w:r>
    </w:p>
    <w:p w14:paraId="300A8C9B">
      <w:pPr>
        <w:pStyle w:val="11"/>
        <w:keepNext w:val="0"/>
        <w:keepLines w:val="0"/>
        <w:pageBreakBefore w:val="0"/>
        <w:widowControl w:val="0"/>
        <w:numPr>
          <w:ilvl w:val="0"/>
          <w:numId w:val="0"/>
        </w:numPr>
        <w:tabs>
          <w:tab w:val="left" w:pos="780"/>
        </w:tabs>
        <w:kinsoku/>
        <w:wordWrap/>
        <w:overflowPunct/>
        <w:topLinePunct w:val="0"/>
        <w:autoSpaceDE/>
        <w:autoSpaceDN/>
        <w:bidi w:val="0"/>
        <w:adjustRightInd w:val="0"/>
        <w:snapToGrid w:val="0"/>
        <w:spacing w:after="0" w:line="460" w:lineRule="atLeas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开标地点：同递交投标文件地点。</w:t>
      </w:r>
    </w:p>
    <w:p w14:paraId="5DB8E7A4">
      <w:pPr>
        <w:pStyle w:val="11"/>
        <w:keepNext w:val="0"/>
        <w:keepLines w:val="0"/>
        <w:pageBreakBefore w:val="0"/>
        <w:widowControl w:val="0"/>
        <w:numPr>
          <w:ilvl w:val="0"/>
          <w:numId w:val="1"/>
        </w:numPr>
        <w:tabs>
          <w:tab w:val="left" w:pos="963"/>
        </w:tabs>
        <w:kinsoku/>
        <w:wordWrap/>
        <w:overflowPunct/>
        <w:topLinePunct w:val="0"/>
        <w:autoSpaceDE/>
        <w:autoSpaceDN/>
        <w:bidi w:val="0"/>
        <w:adjustRightInd w:val="0"/>
        <w:snapToGrid w:val="0"/>
        <w:spacing w:after="0" w:line="460" w:lineRule="atLeast"/>
        <w:ind w:left="0" w:leftChars="0" w:firstLine="422" w:firstLineChars="200"/>
        <w:textAlignment w:val="auto"/>
        <w:rPr>
          <w:rFonts w:hint="eastAsia" w:ascii="宋体" w:hAnsi="宋体" w:eastAsia="宋体" w:cs="宋体"/>
          <w:b/>
          <w:color w:val="auto"/>
          <w:sz w:val="21"/>
          <w:szCs w:val="21"/>
          <w:highlight w:val="none"/>
        </w:rPr>
      </w:pPr>
      <w:bookmarkStart w:id="10" w:name="heading_6"/>
      <w:r>
        <w:rPr>
          <w:rFonts w:hint="eastAsia" w:ascii="宋体" w:hAnsi="宋体" w:eastAsia="宋体" w:cs="宋体"/>
          <w:b/>
          <w:color w:val="auto"/>
          <w:sz w:val="21"/>
          <w:szCs w:val="21"/>
          <w:highlight w:val="none"/>
        </w:rPr>
        <w:t>资格审查办法：资格后审、合格制。</w:t>
      </w:r>
      <w:bookmarkEnd w:id="10"/>
    </w:p>
    <w:p w14:paraId="5B09A445">
      <w:pPr>
        <w:pStyle w:val="11"/>
        <w:keepNext w:val="0"/>
        <w:keepLines w:val="0"/>
        <w:pageBreakBefore w:val="0"/>
        <w:widowControl w:val="0"/>
        <w:numPr>
          <w:ilvl w:val="0"/>
          <w:numId w:val="1"/>
        </w:numPr>
        <w:tabs>
          <w:tab w:val="left" w:pos="963"/>
        </w:tabs>
        <w:kinsoku/>
        <w:wordWrap/>
        <w:overflowPunct/>
        <w:topLinePunct w:val="0"/>
        <w:autoSpaceDE/>
        <w:autoSpaceDN/>
        <w:bidi w:val="0"/>
        <w:adjustRightInd w:val="0"/>
        <w:snapToGrid w:val="0"/>
        <w:spacing w:after="0" w:line="460" w:lineRule="atLeast"/>
        <w:ind w:left="0" w:leftChars="0" w:firstLine="422" w:firstLineChars="200"/>
        <w:textAlignment w:val="auto"/>
        <w:rPr>
          <w:rFonts w:hint="eastAsia" w:ascii="宋体" w:hAnsi="宋体" w:eastAsia="宋体" w:cs="宋体"/>
          <w:b/>
          <w:color w:val="auto"/>
          <w:sz w:val="21"/>
          <w:szCs w:val="21"/>
          <w:highlight w:val="none"/>
        </w:rPr>
      </w:pPr>
      <w:bookmarkStart w:id="11" w:name="heading_7"/>
      <w:r>
        <w:rPr>
          <w:rFonts w:hint="eastAsia" w:ascii="宋体" w:hAnsi="宋体" w:eastAsia="宋体" w:cs="宋体"/>
          <w:b/>
          <w:color w:val="auto"/>
          <w:sz w:val="21"/>
          <w:szCs w:val="21"/>
          <w:highlight w:val="none"/>
        </w:rPr>
        <w:t>评标办法：合理低价法。</w:t>
      </w:r>
      <w:bookmarkEnd w:id="11"/>
    </w:p>
    <w:p w14:paraId="42355BB4">
      <w:pPr>
        <w:pStyle w:val="11"/>
        <w:keepNext w:val="0"/>
        <w:keepLines w:val="0"/>
        <w:pageBreakBefore w:val="0"/>
        <w:widowControl w:val="0"/>
        <w:numPr>
          <w:ilvl w:val="0"/>
          <w:numId w:val="1"/>
        </w:numPr>
        <w:tabs>
          <w:tab w:val="left" w:pos="963"/>
        </w:tabs>
        <w:kinsoku/>
        <w:wordWrap/>
        <w:overflowPunct/>
        <w:topLinePunct w:val="0"/>
        <w:autoSpaceDE/>
        <w:autoSpaceDN/>
        <w:bidi w:val="0"/>
        <w:adjustRightInd w:val="0"/>
        <w:snapToGrid w:val="0"/>
        <w:spacing w:after="0" w:line="460" w:lineRule="atLeast"/>
        <w:ind w:left="0" w:leftChars="0" w:firstLine="422" w:firstLineChars="200"/>
        <w:textAlignment w:val="auto"/>
        <w:rPr>
          <w:rFonts w:hint="eastAsia" w:ascii="宋体" w:hAnsi="宋体" w:eastAsia="宋体" w:cs="宋体"/>
          <w:b/>
          <w:color w:val="auto"/>
          <w:sz w:val="21"/>
          <w:szCs w:val="21"/>
          <w:highlight w:val="none"/>
        </w:rPr>
      </w:pPr>
      <w:bookmarkStart w:id="12" w:name="heading_8"/>
      <w:r>
        <w:rPr>
          <w:rFonts w:hint="eastAsia" w:ascii="宋体" w:hAnsi="宋体" w:eastAsia="宋体" w:cs="宋体"/>
          <w:b/>
          <w:color w:val="auto"/>
          <w:sz w:val="21"/>
          <w:szCs w:val="21"/>
          <w:highlight w:val="none"/>
        </w:rPr>
        <w:t>投标保证金</w:t>
      </w:r>
      <w:bookmarkEnd w:id="12"/>
    </w:p>
    <w:p w14:paraId="7D4336F7">
      <w:pPr>
        <w:pStyle w:val="11"/>
        <w:keepNext w:val="0"/>
        <w:keepLines w:val="0"/>
        <w:pageBreakBefore w:val="0"/>
        <w:widowControl w:val="0"/>
        <w:kinsoku/>
        <w:wordWrap/>
        <w:overflowPunct/>
        <w:topLinePunct w:val="0"/>
        <w:autoSpaceDE/>
        <w:autoSpaceDN/>
        <w:bidi w:val="0"/>
        <w:adjustRightInd w:val="0"/>
        <w:snapToGrid w:val="0"/>
        <w:spacing w:after="0" w:line="460" w:lineRule="atLeast"/>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本项目投标保证金为</w:t>
      </w:r>
      <w:r>
        <w:rPr>
          <w:rFonts w:hint="eastAsia" w:ascii="宋体" w:hAnsi="宋体" w:eastAsia="宋体" w:cs="宋体"/>
          <w:color w:val="auto"/>
          <w:sz w:val="21"/>
          <w:szCs w:val="21"/>
          <w:highlight w:val="none"/>
          <w:u w:val="single"/>
        </w:rPr>
        <w:t>人民币叁仟元整</w:t>
      </w:r>
      <w:r>
        <w:rPr>
          <w:rFonts w:hint="eastAsia" w:ascii="宋体" w:hAnsi="宋体" w:eastAsia="宋体" w:cs="宋体"/>
          <w:color w:val="auto"/>
          <w:sz w:val="21"/>
          <w:szCs w:val="21"/>
          <w:highlight w:val="none"/>
        </w:rPr>
        <w:t>。具体详见投标须知3.4条。</w:t>
      </w:r>
    </w:p>
    <w:p w14:paraId="0A9B99CD">
      <w:pPr>
        <w:pStyle w:val="11"/>
        <w:keepNext w:val="0"/>
        <w:keepLines w:val="0"/>
        <w:pageBreakBefore w:val="0"/>
        <w:widowControl w:val="0"/>
        <w:numPr>
          <w:ilvl w:val="0"/>
          <w:numId w:val="1"/>
        </w:numPr>
        <w:tabs>
          <w:tab w:val="left" w:pos="963"/>
        </w:tabs>
        <w:kinsoku/>
        <w:wordWrap/>
        <w:overflowPunct/>
        <w:topLinePunct w:val="0"/>
        <w:autoSpaceDE/>
        <w:autoSpaceDN/>
        <w:bidi w:val="0"/>
        <w:adjustRightInd w:val="0"/>
        <w:snapToGrid w:val="0"/>
        <w:spacing w:after="0" w:line="460" w:lineRule="atLeast"/>
        <w:ind w:left="0" w:leftChars="0" w:firstLine="422" w:firstLineChars="200"/>
        <w:textAlignment w:val="auto"/>
        <w:rPr>
          <w:rFonts w:hint="eastAsia" w:ascii="宋体" w:hAnsi="宋体" w:eastAsia="宋体" w:cs="宋体"/>
          <w:b/>
          <w:color w:val="auto"/>
          <w:sz w:val="21"/>
          <w:szCs w:val="21"/>
          <w:highlight w:val="none"/>
        </w:rPr>
      </w:pPr>
      <w:bookmarkStart w:id="13" w:name="heading_9"/>
      <w:r>
        <w:rPr>
          <w:rFonts w:hint="eastAsia" w:ascii="宋体" w:hAnsi="宋体" w:eastAsia="宋体" w:cs="宋体"/>
          <w:b/>
          <w:color w:val="auto"/>
          <w:sz w:val="21"/>
          <w:szCs w:val="21"/>
          <w:highlight w:val="none"/>
        </w:rPr>
        <w:t>发布公告的媒介</w:t>
      </w:r>
      <w:bookmarkEnd w:id="13"/>
    </w:p>
    <w:p w14:paraId="11E2277B">
      <w:pPr>
        <w:pStyle w:val="11"/>
        <w:keepNext w:val="0"/>
        <w:keepLines w:val="0"/>
        <w:pageBreakBefore w:val="0"/>
        <w:widowControl w:val="0"/>
        <w:numPr>
          <w:ilvl w:val="0"/>
          <w:numId w:val="0"/>
        </w:numPr>
        <w:tabs>
          <w:tab w:val="left" w:pos="963"/>
        </w:tabs>
        <w:kinsoku/>
        <w:wordWrap/>
        <w:overflowPunct/>
        <w:topLinePunct w:val="0"/>
        <w:autoSpaceDE/>
        <w:autoSpaceDN/>
        <w:bidi w:val="0"/>
        <w:adjustRightInd w:val="0"/>
        <w:snapToGrid w:val="0"/>
        <w:spacing w:after="0" w:line="460" w:lineRule="atLeast"/>
        <w:ind w:leftChars="200"/>
        <w:textAlignment w:val="auto"/>
        <w:rPr>
          <w:rFonts w:hint="eastAsia" w:ascii="宋体" w:hAnsi="宋体" w:eastAsia="宋体" w:cs="宋体"/>
          <w:color w:val="auto"/>
          <w:sz w:val="21"/>
          <w:szCs w:val="21"/>
          <w:highlight w:val="none"/>
        </w:rPr>
      </w:pPr>
      <w:bookmarkStart w:id="14" w:name="heading_10"/>
      <w:r>
        <w:rPr>
          <w:rFonts w:hint="eastAsia" w:ascii="宋体" w:hAnsi="宋体" w:eastAsia="宋体" w:cs="宋体"/>
          <w:color w:val="auto"/>
          <w:sz w:val="21"/>
          <w:szCs w:val="21"/>
          <w:highlight w:val="none"/>
        </w:rPr>
        <w:t>本次招标公告在</w:t>
      </w:r>
      <w:r>
        <w:rPr>
          <w:rFonts w:hint="eastAsia" w:ascii="宋体" w:hAnsi="宋体" w:cs="宋体"/>
          <w:color w:val="auto"/>
          <w:sz w:val="21"/>
          <w:szCs w:val="21"/>
          <w:highlight w:val="none"/>
          <w:lang w:eastAsia="zh-CN"/>
        </w:rPr>
        <w:t>盐东方集团网</w:t>
      </w:r>
      <w:r>
        <w:rPr>
          <w:rFonts w:hint="eastAsia" w:ascii="宋体" w:hAnsi="宋体" w:eastAsia="宋体" w:cs="宋体"/>
          <w:color w:val="auto"/>
          <w:sz w:val="21"/>
          <w:szCs w:val="21"/>
          <w:highlight w:val="none"/>
        </w:rPr>
        <w:t>（http://www.ycdfjt.com/）发布。</w:t>
      </w:r>
    </w:p>
    <w:p w14:paraId="3C02F8C9">
      <w:pPr>
        <w:pStyle w:val="11"/>
        <w:keepNext w:val="0"/>
        <w:keepLines w:val="0"/>
        <w:pageBreakBefore w:val="0"/>
        <w:widowControl w:val="0"/>
        <w:numPr>
          <w:ilvl w:val="0"/>
          <w:numId w:val="1"/>
        </w:numPr>
        <w:tabs>
          <w:tab w:val="left" w:pos="963"/>
        </w:tabs>
        <w:kinsoku/>
        <w:wordWrap/>
        <w:overflowPunct/>
        <w:topLinePunct w:val="0"/>
        <w:autoSpaceDE/>
        <w:autoSpaceDN/>
        <w:bidi w:val="0"/>
        <w:adjustRightInd w:val="0"/>
        <w:snapToGrid w:val="0"/>
        <w:spacing w:after="0" w:line="460" w:lineRule="atLeast"/>
        <w:ind w:left="0" w:leftChars="0" w:firstLine="422" w:firstLineChars="200"/>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投标人有违反《盐城市市场廉政准入规定（试行）》中规定情形的，招标人将拒绝投标。</w:t>
      </w:r>
      <w:bookmarkEnd w:id="14"/>
    </w:p>
    <w:p w14:paraId="7CD0FE31">
      <w:pPr>
        <w:pStyle w:val="11"/>
        <w:keepNext w:val="0"/>
        <w:keepLines w:val="0"/>
        <w:pageBreakBefore w:val="0"/>
        <w:widowControl w:val="0"/>
        <w:numPr>
          <w:ilvl w:val="0"/>
          <w:numId w:val="1"/>
        </w:numPr>
        <w:tabs>
          <w:tab w:val="left" w:pos="963"/>
        </w:tabs>
        <w:kinsoku/>
        <w:wordWrap/>
        <w:overflowPunct/>
        <w:topLinePunct w:val="0"/>
        <w:autoSpaceDE/>
        <w:autoSpaceDN/>
        <w:bidi w:val="0"/>
        <w:adjustRightInd w:val="0"/>
        <w:snapToGrid w:val="0"/>
        <w:spacing w:after="0" w:line="460" w:lineRule="atLeast"/>
        <w:ind w:left="0" w:leftChars="0" w:firstLine="422" w:firstLineChars="200"/>
        <w:textAlignment w:val="auto"/>
        <w:rPr>
          <w:rFonts w:hint="eastAsia" w:ascii="宋体" w:hAnsi="宋体" w:eastAsia="宋体" w:cs="宋体"/>
          <w:b/>
          <w:color w:val="auto"/>
          <w:sz w:val="21"/>
          <w:szCs w:val="21"/>
          <w:highlight w:val="none"/>
        </w:rPr>
      </w:pPr>
      <w:bookmarkStart w:id="15" w:name="heading_11"/>
      <w:r>
        <w:rPr>
          <w:rFonts w:hint="eastAsia" w:ascii="宋体" w:hAnsi="宋体" w:eastAsia="宋体" w:cs="宋体"/>
          <w:b/>
          <w:color w:val="auto"/>
          <w:sz w:val="21"/>
          <w:szCs w:val="21"/>
          <w:highlight w:val="none"/>
        </w:rPr>
        <w:t>本项目严禁挂靠、转包，一经核实挂靠、转包的，将被取消投标、中标资格，并按相关规定进行处罚，直至建议有关部门吊销资质证书。</w:t>
      </w:r>
      <w:bookmarkEnd w:id="15"/>
    </w:p>
    <w:p w14:paraId="7E00F4DB">
      <w:pPr>
        <w:pStyle w:val="11"/>
        <w:keepNext w:val="0"/>
        <w:keepLines w:val="0"/>
        <w:pageBreakBefore w:val="0"/>
        <w:widowControl w:val="0"/>
        <w:numPr>
          <w:ilvl w:val="0"/>
          <w:numId w:val="1"/>
        </w:numPr>
        <w:tabs>
          <w:tab w:val="left" w:pos="963"/>
        </w:tabs>
        <w:kinsoku/>
        <w:wordWrap/>
        <w:overflowPunct/>
        <w:topLinePunct w:val="0"/>
        <w:autoSpaceDE/>
        <w:autoSpaceDN/>
        <w:bidi w:val="0"/>
        <w:adjustRightInd w:val="0"/>
        <w:snapToGrid w:val="0"/>
        <w:spacing w:after="0" w:line="460" w:lineRule="atLeast"/>
        <w:ind w:left="0" w:leftChars="0" w:firstLine="422" w:firstLineChars="200"/>
        <w:textAlignment w:val="auto"/>
        <w:rPr>
          <w:rFonts w:hint="eastAsia" w:ascii="宋体" w:hAnsi="宋体" w:eastAsia="宋体" w:cs="宋体"/>
          <w:b/>
          <w:color w:val="auto"/>
          <w:sz w:val="21"/>
          <w:szCs w:val="21"/>
          <w:highlight w:val="none"/>
        </w:rPr>
      </w:pPr>
      <w:bookmarkStart w:id="16" w:name="heading_12"/>
      <w:r>
        <w:rPr>
          <w:rFonts w:hint="eastAsia" w:ascii="宋体" w:hAnsi="宋体" w:eastAsia="宋体" w:cs="宋体"/>
          <w:b/>
          <w:color w:val="auto"/>
          <w:sz w:val="21"/>
          <w:szCs w:val="21"/>
          <w:highlight w:val="none"/>
        </w:rPr>
        <w:t>联系方式</w:t>
      </w:r>
      <w:bookmarkEnd w:id="16"/>
    </w:p>
    <w:p w14:paraId="1AE75361">
      <w:pPr>
        <w:keepNext w:val="0"/>
        <w:keepLines w:val="0"/>
        <w:pageBreakBefore w:val="0"/>
        <w:widowControl w:val="0"/>
        <w:tabs>
          <w:tab w:val="left" w:pos="7455"/>
        </w:tabs>
        <w:kinsoku/>
        <w:wordWrap/>
        <w:overflowPunct/>
        <w:topLinePunct w:val="0"/>
        <w:autoSpaceDE/>
        <w:autoSpaceDN/>
        <w:bidi w:val="0"/>
        <w:adjustRightInd w:val="0"/>
        <w:snapToGrid w:val="0"/>
        <w:spacing w:line="460" w:lineRule="atLeast"/>
        <w:ind w:left="-103" w:leftChars="-49" w:right="-334" w:rightChars="-159" w:firstLine="525" w:firstLineChars="25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招标人：</w:t>
      </w:r>
      <w:r>
        <w:rPr>
          <w:rFonts w:hint="eastAsia" w:ascii="宋体" w:hAnsi="宋体" w:eastAsia="宋体" w:cs="宋体"/>
          <w:color w:val="auto"/>
          <w:sz w:val="21"/>
          <w:szCs w:val="21"/>
          <w:highlight w:val="none"/>
          <w:lang w:eastAsia="zh-CN"/>
        </w:rPr>
        <w:t>盐城东方投资开发集团有限公司</w:t>
      </w:r>
    </w:p>
    <w:p w14:paraId="7ABD234E">
      <w:pPr>
        <w:keepNext w:val="0"/>
        <w:keepLines w:val="0"/>
        <w:pageBreakBefore w:val="0"/>
        <w:widowControl w:val="0"/>
        <w:tabs>
          <w:tab w:val="left" w:pos="7455"/>
        </w:tabs>
        <w:kinsoku/>
        <w:wordWrap/>
        <w:overflowPunct/>
        <w:topLinePunct w:val="0"/>
        <w:autoSpaceDE/>
        <w:autoSpaceDN/>
        <w:bidi w:val="0"/>
        <w:adjustRightInd w:val="0"/>
        <w:snapToGrid w:val="0"/>
        <w:spacing w:line="460" w:lineRule="atLeast"/>
        <w:ind w:left="-103" w:leftChars="-49" w:right="-334" w:rightChars="-159" w:firstLine="525" w:firstLineChars="25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地址：盐城经济技术开发区国际软件园6#楼</w:t>
      </w:r>
    </w:p>
    <w:p w14:paraId="6815EF9F">
      <w:pPr>
        <w:keepNext w:val="0"/>
        <w:keepLines w:val="0"/>
        <w:pageBreakBefore w:val="0"/>
        <w:widowControl w:val="0"/>
        <w:tabs>
          <w:tab w:val="left" w:pos="7455"/>
        </w:tabs>
        <w:kinsoku/>
        <w:wordWrap/>
        <w:overflowPunct/>
        <w:topLinePunct w:val="0"/>
        <w:autoSpaceDE/>
        <w:autoSpaceDN/>
        <w:bidi w:val="0"/>
        <w:adjustRightInd w:val="0"/>
        <w:snapToGrid w:val="0"/>
        <w:spacing w:line="460" w:lineRule="atLeast"/>
        <w:ind w:left="-103" w:leftChars="-49" w:right="-334" w:rightChars="-159" w:firstLine="525" w:firstLineChars="25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联系人：陈先生</w:t>
      </w:r>
    </w:p>
    <w:p w14:paraId="32DAA278">
      <w:pPr>
        <w:keepNext w:val="0"/>
        <w:keepLines w:val="0"/>
        <w:pageBreakBefore w:val="0"/>
        <w:widowControl w:val="0"/>
        <w:tabs>
          <w:tab w:val="left" w:pos="7455"/>
        </w:tabs>
        <w:kinsoku/>
        <w:wordWrap/>
        <w:overflowPunct/>
        <w:topLinePunct w:val="0"/>
        <w:autoSpaceDE/>
        <w:autoSpaceDN/>
        <w:bidi w:val="0"/>
        <w:adjustRightInd w:val="0"/>
        <w:snapToGrid w:val="0"/>
        <w:spacing w:line="460" w:lineRule="atLeast"/>
        <w:ind w:left="-103" w:leftChars="-49" w:right="-334" w:rightChars="-159" w:firstLine="525" w:firstLineChars="25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联系电话：0515-68086956</w:t>
      </w:r>
    </w:p>
    <w:p w14:paraId="5D1CCFA7">
      <w:pPr>
        <w:keepNext w:val="0"/>
        <w:keepLines w:val="0"/>
        <w:pageBreakBefore w:val="0"/>
        <w:widowControl w:val="0"/>
        <w:tabs>
          <w:tab w:val="left" w:pos="7455"/>
        </w:tabs>
        <w:kinsoku/>
        <w:wordWrap/>
        <w:overflowPunct/>
        <w:topLinePunct w:val="0"/>
        <w:autoSpaceDE/>
        <w:autoSpaceDN/>
        <w:bidi w:val="0"/>
        <w:adjustRightInd w:val="0"/>
        <w:snapToGrid w:val="0"/>
        <w:spacing w:line="460" w:lineRule="atLeast"/>
        <w:ind w:left="-103" w:leftChars="-49" w:right="-334" w:rightChars="-159" w:firstLine="525" w:firstLineChars="250"/>
        <w:textAlignment w:val="auto"/>
        <w:rPr>
          <w:rFonts w:hint="eastAsia" w:ascii="宋体" w:hAnsi="宋体" w:eastAsia="宋体" w:cs="宋体"/>
          <w:color w:val="auto"/>
          <w:sz w:val="21"/>
          <w:szCs w:val="21"/>
          <w:highlight w:val="none"/>
        </w:rPr>
      </w:pPr>
      <w:bookmarkStart w:id="17" w:name="heading_13"/>
      <w:r>
        <w:rPr>
          <w:rFonts w:hint="eastAsia" w:ascii="宋体" w:hAnsi="宋体" w:eastAsia="宋体" w:cs="宋体"/>
          <w:color w:val="auto"/>
          <w:sz w:val="21"/>
          <w:szCs w:val="21"/>
          <w:highlight w:val="none"/>
        </w:rPr>
        <w:t>招标代理机构：</w:t>
      </w:r>
      <w:r>
        <w:rPr>
          <w:rFonts w:hint="eastAsia" w:ascii="宋体" w:hAnsi="宋体" w:eastAsia="宋体" w:cs="宋体"/>
          <w:color w:val="auto"/>
          <w:sz w:val="21"/>
          <w:szCs w:val="21"/>
          <w:highlight w:val="none"/>
          <w:lang w:val="en-US" w:eastAsia="zh-CN"/>
        </w:rPr>
        <w:t>江苏伟业项目管理有限公司</w:t>
      </w:r>
    </w:p>
    <w:p w14:paraId="7F1C0476">
      <w:pPr>
        <w:keepNext w:val="0"/>
        <w:keepLines w:val="0"/>
        <w:pageBreakBefore w:val="0"/>
        <w:widowControl w:val="0"/>
        <w:tabs>
          <w:tab w:val="left" w:pos="7455"/>
        </w:tabs>
        <w:kinsoku/>
        <w:wordWrap/>
        <w:overflowPunct/>
        <w:topLinePunct w:val="0"/>
        <w:autoSpaceDE/>
        <w:autoSpaceDN/>
        <w:bidi w:val="0"/>
        <w:adjustRightInd w:val="0"/>
        <w:snapToGrid w:val="0"/>
        <w:spacing w:line="460" w:lineRule="atLeast"/>
        <w:ind w:left="-103" w:leftChars="-49" w:right="-334" w:rightChars="-159" w:firstLine="525" w:firstLineChars="25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地址：盐城市开放大道中海凯旋门北区9幢127号(海盐博物馆对面)</w:t>
      </w:r>
    </w:p>
    <w:p w14:paraId="6DF7FDFB">
      <w:pPr>
        <w:keepNext w:val="0"/>
        <w:keepLines w:val="0"/>
        <w:pageBreakBefore w:val="0"/>
        <w:widowControl w:val="0"/>
        <w:tabs>
          <w:tab w:val="left" w:pos="7455"/>
        </w:tabs>
        <w:kinsoku/>
        <w:wordWrap/>
        <w:overflowPunct/>
        <w:topLinePunct w:val="0"/>
        <w:autoSpaceDE/>
        <w:autoSpaceDN/>
        <w:bidi w:val="0"/>
        <w:adjustRightInd w:val="0"/>
        <w:snapToGrid w:val="0"/>
        <w:spacing w:line="460" w:lineRule="atLeast"/>
        <w:ind w:left="-103" w:leftChars="-49" w:right="-334" w:rightChars="-159" w:firstLine="525" w:firstLineChars="25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联系人：贾先生</w:t>
      </w:r>
    </w:p>
    <w:p w14:paraId="7419F5AA">
      <w:pPr>
        <w:keepNext w:val="0"/>
        <w:keepLines w:val="0"/>
        <w:pageBreakBefore w:val="0"/>
        <w:widowControl w:val="0"/>
        <w:tabs>
          <w:tab w:val="left" w:pos="7455"/>
        </w:tabs>
        <w:kinsoku/>
        <w:wordWrap/>
        <w:overflowPunct/>
        <w:topLinePunct w:val="0"/>
        <w:autoSpaceDE/>
        <w:autoSpaceDN/>
        <w:bidi w:val="0"/>
        <w:adjustRightInd w:val="0"/>
        <w:snapToGrid w:val="0"/>
        <w:spacing w:line="460" w:lineRule="atLeast"/>
        <w:ind w:left="-103" w:leftChars="-49" w:right="-334" w:rightChars="-159" w:firstLine="525" w:firstLineChars="25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联系电话：18066195261</w:t>
      </w:r>
    </w:p>
    <w:p w14:paraId="7FF2A548">
      <w:pPr>
        <w:pStyle w:val="21"/>
        <w:keepNext w:val="0"/>
        <w:keepLines w:val="0"/>
        <w:pageBreakBefore w:val="0"/>
        <w:widowControl w:val="0"/>
        <w:tabs>
          <w:tab w:val="left" w:pos="0"/>
        </w:tabs>
        <w:kinsoku/>
        <w:wordWrap/>
        <w:overflowPunct/>
        <w:topLinePunct w:val="0"/>
        <w:autoSpaceDE/>
        <w:autoSpaceDN/>
        <w:bidi w:val="0"/>
        <w:adjustRightInd w:val="0"/>
        <w:snapToGrid w:val="0"/>
        <w:spacing w:before="0" w:after="0" w:line="460" w:lineRule="atLeast"/>
        <w:ind w:left="0" w:leftChars="0" w:firstLine="0" w:firstLineChars="0"/>
        <w:textAlignment w:val="auto"/>
        <w:outlineLvl w:val="0"/>
        <w:rPr>
          <w:rFonts w:hint="eastAsia" w:ascii="宋体" w:hAnsi="宋体" w:eastAsia="宋体" w:cs="宋体"/>
          <w:b/>
          <w:bCs/>
          <w:color w:val="auto"/>
          <w:sz w:val="28"/>
          <w:szCs w:val="28"/>
          <w:highlight w:val="none"/>
        </w:rPr>
      </w:pPr>
      <w:r>
        <w:rPr>
          <w:rFonts w:hint="eastAsia" w:ascii="宋体" w:hAnsi="宋体" w:eastAsia="宋体" w:cs="宋体"/>
          <w:color w:val="auto"/>
          <w:highlight w:val="none"/>
        </w:rPr>
        <w:br w:type="page"/>
      </w:r>
      <w:r>
        <w:rPr>
          <w:rFonts w:hint="eastAsia" w:ascii="宋体" w:hAnsi="宋体" w:eastAsia="宋体" w:cs="宋体"/>
          <w:b/>
          <w:bCs/>
          <w:color w:val="auto"/>
          <w:sz w:val="28"/>
          <w:szCs w:val="28"/>
          <w:highlight w:val="none"/>
        </w:rPr>
        <w:t>第二章 投标人须知</w:t>
      </w:r>
      <w:bookmarkEnd w:id="17"/>
    </w:p>
    <w:p w14:paraId="611D176C">
      <w:pPr>
        <w:pStyle w:val="23"/>
        <w:keepNext w:val="0"/>
        <w:keepLines w:val="0"/>
        <w:pageBreakBefore w:val="0"/>
        <w:widowControl w:val="0"/>
        <w:kinsoku/>
        <w:wordWrap/>
        <w:overflowPunct/>
        <w:topLinePunct w:val="0"/>
        <w:autoSpaceDE/>
        <w:autoSpaceDN/>
        <w:bidi w:val="0"/>
        <w:adjustRightInd w:val="0"/>
        <w:snapToGrid w:val="0"/>
        <w:spacing w:before="0" w:after="0" w:line="460" w:lineRule="atLeast"/>
        <w:ind w:left="0" w:leftChars="0" w:firstLine="3584" w:firstLineChars="1700"/>
        <w:jc w:val="both"/>
        <w:textAlignment w:val="auto"/>
        <w:outlineLvl w:val="9"/>
        <w:rPr>
          <w:rFonts w:hint="eastAsia" w:ascii="宋体" w:hAnsi="宋体" w:eastAsia="宋体" w:cs="宋体"/>
          <w:color w:val="auto"/>
          <w:sz w:val="21"/>
          <w:szCs w:val="21"/>
          <w:highlight w:val="none"/>
        </w:rPr>
      </w:pPr>
      <w:bookmarkStart w:id="18" w:name="heading_14"/>
      <w:r>
        <w:rPr>
          <w:rFonts w:hint="eastAsia" w:ascii="宋体" w:hAnsi="宋体" w:eastAsia="宋体" w:cs="宋体"/>
          <w:color w:val="auto"/>
          <w:sz w:val="21"/>
          <w:szCs w:val="21"/>
          <w:highlight w:val="none"/>
        </w:rPr>
        <w:t>投标人须知前附表</w:t>
      </w:r>
      <w:bookmarkEnd w:id="18"/>
    </w:p>
    <w:tbl>
      <w:tblPr>
        <w:tblStyle w:val="18"/>
        <w:tblW w:w="8521" w:type="dxa"/>
        <w:jc w:val="center"/>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Layout w:type="autofit"/>
        <w:tblCellMar>
          <w:top w:w="0" w:type="dxa"/>
          <w:left w:w="10" w:type="dxa"/>
          <w:bottom w:w="0" w:type="dxa"/>
          <w:right w:w="10" w:type="dxa"/>
        </w:tblCellMar>
      </w:tblPr>
      <w:tblGrid>
        <w:gridCol w:w="907"/>
        <w:gridCol w:w="1581"/>
        <w:gridCol w:w="6033"/>
      </w:tblGrid>
      <w:tr w14:paraId="2789CDA8">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rPr>
          <w:trHeight w:val="0" w:hRule="atLeast"/>
          <w:tblHeader/>
          <w:jc w:val="center"/>
        </w:trPr>
        <w:tc>
          <w:tcPr>
            <w:tcW w:w="907"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42FE6073">
            <w:pPr>
              <w:keepNext w:val="0"/>
              <w:keepLines w:val="0"/>
              <w:pageBreakBefore w:val="0"/>
              <w:widowControl w:val="0"/>
              <w:kinsoku/>
              <w:wordWrap/>
              <w:overflowPunct/>
              <w:topLinePunct w:val="0"/>
              <w:autoSpaceDE/>
              <w:autoSpaceDN/>
              <w:bidi w:val="0"/>
              <w:adjustRightInd w:val="0"/>
              <w:snapToGrid w:val="0"/>
              <w:spacing w:line="460" w:lineRule="atLeast"/>
              <w:ind w:left="0" w:leftChars="0" w:right="0" w:rightChars="0" w:firstLine="0" w:firstLineChars="0"/>
              <w:jc w:val="center"/>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条款号</w:t>
            </w:r>
          </w:p>
        </w:tc>
        <w:tc>
          <w:tcPr>
            <w:tcW w:w="1581"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37F4426C">
            <w:pPr>
              <w:keepNext w:val="0"/>
              <w:keepLines w:val="0"/>
              <w:pageBreakBefore w:val="0"/>
              <w:widowControl w:val="0"/>
              <w:kinsoku/>
              <w:wordWrap/>
              <w:overflowPunct/>
              <w:topLinePunct w:val="0"/>
              <w:autoSpaceDE/>
              <w:autoSpaceDN/>
              <w:bidi w:val="0"/>
              <w:adjustRightInd w:val="0"/>
              <w:snapToGrid w:val="0"/>
              <w:spacing w:line="460" w:lineRule="atLeast"/>
              <w:ind w:left="0" w:leftChars="0" w:right="0" w:rightChars="0" w:firstLine="0" w:firstLineChars="0"/>
              <w:jc w:val="center"/>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条款名称</w:t>
            </w:r>
          </w:p>
        </w:tc>
        <w:tc>
          <w:tcPr>
            <w:tcW w:w="6033"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68218475">
            <w:pPr>
              <w:keepNext w:val="0"/>
              <w:keepLines w:val="0"/>
              <w:pageBreakBefore w:val="0"/>
              <w:widowControl w:val="0"/>
              <w:kinsoku/>
              <w:wordWrap/>
              <w:overflowPunct/>
              <w:topLinePunct w:val="0"/>
              <w:autoSpaceDE/>
              <w:autoSpaceDN/>
              <w:bidi w:val="0"/>
              <w:adjustRightInd w:val="0"/>
              <w:snapToGrid w:val="0"/>
              <w:spacing w:line="460" w:lineRule="atLeast"/>
              <w:ind w:left="0" w:leftChars="0" w:right="0" w:rightChars="0" w:firstLine="0" w:firstLineChars="0"/>
              <w:jc w:val="center"/>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编列内容</w:t>
            </w:r>
          </w:p>
        </w:tc>
      </w:tr>
      <w:tr w14:paraId="374D7589">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rPr>
          <w:trHeight w:val="0" w:hRule="atLeast"/>
          <w:jc w:val="center"/>
        </w:trPr>
        <w:tc>
          <w:tcPr>
            <w:tcW w:w="907"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04B3057D">
            <w:pPr>
              <w:keepNext w:val="0"/>
              <w:keepLines w:val="0"/>
              <w:pageBreakBefore w:val="0"/>
              <w:widowControl w:val="0"/>
              <w:kinsoku/>
              <w:wordWrap/>
              <w:overflowPunct/>
              <w:topLinePunct w:val="0"/>
              <w:autoSpaceDE/>
              <w:autoSpaceDN/>
              <w:bidi w:val="0"/>
              <w:adjustRightInd w:val="0"/>
              <w:snapToGrid w:val="0"/>
              <w:spacing w:line="460" w:lineRule="atLeast"/>
              <w:ind w:left="0" w:leftChars="0" w:right="0" w:rightChars="0"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1581"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2A7D99CE">
            <w:pPr>
              <w:keepNext w:val="0"/>
              <w:keepLines w:val="0"/>
              <w:pageBreakBefore w:val="0"/>
              <w:widowControl w:val="0"/>
              <w:kinsoku/>
              <w:wordWrap/>
              <w:overflowPunct/>
              <w:topLinePunct w:val="0"/>
              <w:autoSpaceDE/>
              <w:autoSpaceDN/>
              <w:bidi w:val="0"/>
              <w:adjustRightInd w:val="0"/>
              <w:snapToGrid w:val="0"/>
              <w:spacing w:line="460" w:lineRule="atLeast"/>
              <w:ind w:left="0" w:leftChars="0" w:right="0" w:rightChars="0"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招标人</w:t>
            </w:r>
          </w:p>
        </w:tc>
        <w:tc>
          <w:tcPr>
            <w:tcW w:w="6033"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0DB1AAE1">
            <w:pPr>
              <w:keepNext w:val="0"/>
              <w:keepLines w:val="0"/>
              <w:pageBreakBefore w:val="0"/>
              <w:widowControl w:val="0"/>
              <w:kinsoku/>
              <w:wordWrap/>
              <w:overflowPunct/>
              <w:topLinePunct w:val="0"/>
              <w:autoSpaceDE/>
              <w:autoSpaceDN/>
              <w:bidi w:val="0"/>
              <w:adjustRightInd w:val="0"/>
              <w:snapToGrid w:val="0"/>
              <w:spacing w:line="460" w:lineRule="atLeas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名称：</w:t>
            </w:r>
            <w:r>
              <w:rPr>
                <w:rFonts w:hint="eastAsia" w:ascii="宋体" w:hAnsi="宋体" w:eastAsia="宋体" w:cs="宋体"/>
                <w:color w:val="auto"/>
                <w:sz w:val="21"/>
                <w:szCs w:val="21"/>
                <w:highlight w:val="none"/>
                <w:lang w:eastAsia="zh-CN"/>
              </w:rPr>
              <w:t>盐城东方投资开发集团有限公司</w:t>
            </w:r>
          </w:p>
          <w:p w14:paraId="496C3191">
            <w:pPr>
              <w:keepNext w:val="0"/>
              <w:keepLines w:val="0"/>
              <w:pageBreakBefore w:val="0"/>
              <w:widowControl w:val="0"/>
              <w:kinsoku/>
              <w:wordWrap/>
              <w:overflowPunct/>
              <w:topLinePunct w:val="0"/>
              <w:autoSpaceDE/>
              <w:autoSpaceDN/>
              <w:bidi w:val="0"/>
              <w:adjustRightInd w:val="0"/>
              <w:snapToGrid w:val="0"/>
              <w:spacing w:line="460" w:lineRule="atLeas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地址：盐城经济技术开发区国际软件园6#楼B座10楼</w:t>
            </w:r>
          </w:p>
          <w:p w14:paraId="79B30706">
            <w:pPr>
              <w:keepNext w:val="0"/>
              <w:keepLines w:val="0"/>
              <w:pageBreakBefore w:val="0"/>
              <w:widowControl w:val="0"/>
              <w:kinsoku/>
              <w:wordWrap/>
              <w:overflowPunct/>
              <w:topLinePunct w:val="0"/>
              <w:autoSpaceDE/>
              <w:autoSpaceDN/>
              <w:bidi w:val="0"/>
              <w:adjustRightInd w:val="0"/>
              <w:snapToGrid w:val="0"/>
              <w:spacing w:line="460" w:lineRule="atLeas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联系人：陈先生</w:t>
            </w:r>
          </w:p>
          <w:p w14:paraId="217D45C5">
            <w:pPr>
              <w:keepNext w:val="0"/>
              <w:keepLines w:val="0"/>
              <w:pageBreakBefore w:val="0"/>
              <w:widowControl w:val="0"/>
              <w:kinsoku/>
              <w:wordWrap/>
              <w:overflowPunct/>
              <w:topLinePunct w:val="0"/>
              <w:autoSpaceDE/>
              <w:autoSpaceDN/>
              <w:bidi w:val="0"/>
              <w:adjustRightInd w:val="0"/>
              <w:snapToGrid w:val="0"/>
              <w:spacing w:line="460" w:lineRule="atLeast"/>
              <w:ind w:left="0" w:leftChars="0" w:right="0" w:rightChars="0"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电话：0515-68086956 </w:t>
            </w:r>
          </w:p>
        </w:tc>
      </w:tr>
      <w:tr w14:paraId="393782D9">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rPr>
          <w:trHeight w:val="0" w:hRule="atLeast"/>
          <w:jc w:val="center"/>
        </w:trPr>
        <w:tc>
          <w:tcPr>
            <w:tcW w:w="907"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27D79657">
            <w:pPr>
              <w:keepNext w:val="0"/>
              <w:keepLines w:val="0"/>
              <w:pageBreakBefore w:val="0"/>
              <w:widowControl w:val="0"/>
              <w:kinsoku/>
              <w:wordWrap/>
              <w:overflowPunct/>
              <w:topLinePunct w:val="0"/>
              <w:autoSpaceDE/>
              <w:autoSpaceDN/>
              <w:bidi w:val="0"/>
              <w:adjustRightInd w:val="0"/>
              <w:snapToGrid w:val="0"/>
              <w:spacing w:line="460" w:lineRule="atLeast"/>
              <w:ind w:left="0" w:leftChars="0" w:right="0" w:rightChars="0"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1581"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4CA759B3">
            <w:pPr>
              <w:keepNext w:val="0"/>
              <w:keepLines w:val="0"/>
              <w:pageBreakBefore w:val="0"/>
              <w:widowControl w:val="0"/>
              <w:kinsoku/>
              <w:wordWrap/>
              <w:overflowPunct/>
              <w:topLinePunct w:val="0"/>
              <w:autoSpaceDE/>
              <w:autoSpaceDN/>
              <w:bidi w:val="0"/>
              <w:adjustRightInd w:val="0"/>
              <w:snapToGrid w:val="0"/>
              <w:spacing w:line="460" w:lineRule="atLeast"/>
              <w:ind w:left="0" w:leftChars="0" w:right="0" w:rightChars="0"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招标代理机构</w:t>
            </w:r>
          </w:p>
        </w:tc>
        <w:tc>
          <w:tcPr>
            <w:tcW w:w="6033"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0A7D51F8">
            <w:pPr>
              <w:keepNext w:val="0"/>
              <w:keepLines w:val="0"/>
              <w:pageBreakBefore w:val="0"/>
              <w:widowControl w:val="0"/>
              <w:kinsoku/>
              <w:wordWrap/>
              <w:overflowPunct/>
              <w:topLinePunct w:val="0"/>
              <w:autoSpaceDE/>
              <w:autoSpaceDN/>
              <w:bidi w:val="0"/>
              <w:adjustRightInd w:val="0"/>
              <w:snapToGrid w:val="0"/>
              <w:spacing w:line="460" w:lineRule="atLeast"/>
              <w:ind w:left="0" w:leftChars="0" w:right="0" w:rightChars="0"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名称：江苏伟业项目管理有限公司</w:t>
            </w:r>
          </w:p>
          <w:p w14:paraId="4C5A6F9D">
            <w:pPr>
              <w:keepNext w:val="0"/>
              <w:keepLines w:val="0"/>
              <w:pageBreakBefore w:val="0"/>
              <w:widowControl w:val="0"/>
              <w:kinsoku/>
              <w:wordWrap/>
              <w:overflowPunct/>
              <w:topLinePunct w:val="0"/>
              <w:autoSpaceDE/>
              <w:autoSpaceDN/>
              <w:bidi w:val="0"/>
              <w:adjustRightInd w:val="0"/>
              <w:snapToGrid w:val="0"/>
              <w:spacing w:line="460" w:lineRule="atLeast"/>
              <w:ind w:left="0" w:leftChars="0" w:right="0" w:rightChars="0"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地址：盐城市开放大道中海凯旋门北区9幢127号(海盐博物馆对面)</w:t>
            </w:r>
          </w:p>
          <w:p w14:paraId="0E1CD68A">
            <w:pPr>
              <w:keepNext w:val="0"/>
              <w:keepLines w:val="0"/>
              <w:pageBreakBefore w:val="0"/>
              <w:widowControl w:val="0"/>
              <w:kinsoku/>
              <w:wordWrap/>
              <w:overflowPunct/>
              <w:topLinePunct w:val="0"/>
              <w:autoSpaceDE/>
              <w:autoSpaceDN/>
              <w:bidi w:val="0"/>
              <w:adjustRightInd w:val="0"/>
              <w:snapToGrid w:val="0"/>
              <w:spacing w:line="460" w:lineRule="atLeast"/>
              <w:ind w:left="0" w:leftChars="0" w:right="0" w:rightChars="0"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联系人：贾先生</w:t>
            </w:r>
          </w:p>
          <w:p w14:paraId="3A77B29F">
            <w:pPr>
              <w:keepNext w:val="0"/>
              <w:keepLines w:val="0"/>
              <w:pageBreakBefore w:val="0"/>
              <w:widowControl w:val="0"/>
              <w:kinsoku/>
              <w:wordWrap/>
              <w:overflowPunct/>
              <w:topLinePunct w:val="0"/>
              <w:autoSpaceDE/>
              <w:autoSpaceDN/>
              <w:bidi w:val="0"/>
              <w:adjustRightInd w:val="0"/>
              <w:snapToGrid w:val="0"/>
              <w:spacing w:line="460" w:lineRule="atLeast"/>
              <w:ind w:left="0" w:leftChars="0" w:right="0" w:rightChars="0" w:firstLine="0" w:firstLine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联系电话：</w:t>
            </w:r>
            <w:r>
              <w:rPr>
                <w:rFonts w:hint="eastAsia" w:ascii="宋体" w:hAnsi="宋体" w:eastAsia="宋体" w:cs="宋体"/>
                <w:color w:val="auto"/>
                <w:sz w:val="21"/>
                <w:szCs w:val="21"/>
                <w:highlight w:val="none"/>
                <w:lang w:val="en-US" w:eastAsia="zh-CN"/>
              </w:rPr>
              <w:t>18066195261</w:t>
            </w:r>
          </w:p>
        </w:tc>
      </w:tr>
      <w:tr w14:paraId="09FE0710">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rPr>
          <w:trHeight w:val="0" w:hRule="atLeast"/>
          <w:jc w:val="center"/>
        </w:trPr>
        <w:tc>
          <w:tcPr>
            <w:tcW w:w="907"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22F7564E">
            <w:pPr>
              <w:keepNext w:val="0"/>
              <w:keepLines w:val="0"/>
              <w:pageBreakBefore w:val="0"/>
              <w:widowControl w:val="0"/>
              <w:kinsoku/>
              <w:wordWrap/>
              <w:overflowPunct/>
              <w:topLinePunct w:val="0"/>
              <w:autoSpaceDE/>
              <w:autoSpaceDN/>
              <w:bidi w:val="0"/>
              <w:adjustRightInd w:val="0"/>
              <w:snapToGrid w:val="0"/>
              <w:spacing w:line="460" w:lineRule="atLeast"/>
              <w:ind w:left="0" w:leftChars="0" w:right="0" w:rightChars="0"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p>
        </w:tc>
        <w:tc>
          <w:tcPr>
            <w:tcW w:w="1581"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74BBE140">
            <w:pPr>
              <w:keepNext w:val="0"/>
              <w:keepLines w:val="0"/>
              <w:pageBreakBefore w:val="0"/>
              <w:widowControl w:val="0"/>
              <w:kinsoku/>
              <w:wordWrap/>
              <w:overflowPunct/>
              <w:topLinePunct w:val="0"/>
              <w:autoSpaceDE/>
              <w:autoSpaceDN/>
              <w:bidi w:val="0"/>
              <w:adjustRightInd w:val="0"/>
              <w:snapToGrid w:val="0"/>
              <w:spacing w:line="460" w:lineRule="atLeast"/>
              <w:ind w:left="0" w:leftChars="0" w:right="0" w:rightChars="0"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工程项目名称</w:t>
            </w:r>
          </w:p>
        </w:tc>
        <w:tc>
          <w:tcPr>
            <w:tcW w:w="6033"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716E92EC">
            <w:pPr>
              <w:keepNext w:val="0"/>
              <w:keepLines w:val="0"/>
              <w:pageBreakBefore w:val="0"/>
              <w:widowControl w:val="0"/>
              <w:kinsoku/>
              <w:wordWrap/>
              <w:overflowPunct/>
              <w:topLinePunct w:val="0"/>
              <w:autoSpaceDE/>
              <w:autoSpaceDN/>
              <w:bidi w:val="0"/>
              <w:adjustRightInd w:val="0"/>
              <w:snapToGrid w:val="0"/>
              <w:spacing w:line="460" w:lineRule="atLeast"/>
              <w:ind w:left="0" w:leftChars="0" w:right="0" w:rightChars="0" w:firstLine="0" w:firstLineChars="0"/>
              <w:jc w:val="lef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2026年度盐城国际会展中心弱电智能化维保及活动保障服务项目</w:t>
            </w:r>
          </w:p>
        </w:tc>
      </w:tr>
      <w:tr w14:paraId="3CADEE88">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rPr>
          <w:trHeight w:val="0" w:hRule="atLeast"/>
          <w:jc w:val="center"/>
        </w:trPr>
        <w:tc>
          <w:tcPr>
            <w:tcW w:w="907"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3707A205">
            <w:pPr>
              <w:keepNext w:val="0"/>
              <w:keepLines w:val="0"/>
              <w:pageBreakBefore w:val="0"/>
              <w:widowControl w:val="0"/>
              <w:kinsoku/>
              <w:wordWrap/>
              <w:overflowPunct/>
              <w:topLinePunct w:val="0"/>
              <w:autoSpaceDE/>
              <w:autoSpaceDN/>
              <w:bidi w:val="0"/>
              <w:adjustRightInd w:val="0"/>
              <w:snapToGrid w:val="0"/>
              <w:spacing w:line="460" w:lineRule="atLeast"/>
              <w:ind w:left="0" w:leftChars="0" w:right="0" w:rightChars="0"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w:t>
            </w:r>
          </w:p>
        </w:tc>
        <w:tc>
          <w:tcPr>
            <w:tcW w:w="1581"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585AAB8D">
            <w:pPr>
              <w:keepNext w:val="0"/>
              <w:keepLines w:val="0"/>
              <w:pageBreakBefore w:val="0"/>
              <w:widowControl w:val="0"/>
              <w:kinsoku/>
              <w:wordWrap/>
              <w:overflowPunct/>
              <w:topLinePunct w:val="0"/>
              <w:autoSpaceDE/>
              <w:autoSpaceDN/>
              <w:bidi w:val="0"/>
              <w:adjustRightInd w:val="0"/>
              <w:snapToGrid w:val="0"/>
              <w:spacing w:line="460" w:lineRule="atLeast"/>
              <w:ind w:left="0" w:leftChars="0" w:right="0" w:rightChars="0"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招标项目名称</w:t>
            </w:r>
          </w:p>
        </w:tc>
        <w:tc>
          <w:tcPr>
            <w:tcW w:w="6033"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535A013A">
            <w:pPr>
              <w:keepNext w:val="0"/>
              <w:keepLines w:val="0"/>
              <w:pageBreakBefore w:val="0"/>
              <w:widowControl w:val="0"/>
              <w:kinsoku/>
              <w:wordWrap/>
              <w:overflowPunct/>
              <w:topLinePunct w:val="0"/>
              <w:autoSpaceDE/>
              <w:autoSpaceDN/>
              <w:bidi w:val="0"/>
              <w:adjustRightInd w:val="0"/>
              <w:snapToGrid w:val="0"/>
              <w:spacing w:line="460" w:lineRule="atLeast"/>
              <w:ind w:left="0" w:leftChars="0" w:right="0" w:rightChars="0" w:firstLine="0" w:firstLineChars="0"/>
              <w:jc w:val="lef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2026年度盐城国际会展中心弱电智能化维保及活动保障服务项目</w:t>
            </w:r>
          </w:p>
        </w:tc>
      </w:tr>
      <w:tr w14:paraId="7ED70A98">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rPr>
          <w:trHeight w:val="0" w:hRule="atLeast"/>
          <w:jc w:val="center"/>
        </w:trPr>
        <w:tc>
          <w:tcPr>
            <w:tcW w:w="907"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5135766F">
            <w:pPr>
              <w:keepNext w:val="0"/>
              <w:keepLines w:val="0"/>
              <w:pageBreakBefore w:val="0"/>
              <w:widowControl w:val="0"/>
              <w:kinsoku/>
              <w:wordWrap/>
              <w:overflowPunct/>
              <w:topLinePunct w:val="0"/>
              <w:autoSpaceDE/>
              <w:autoSpaceDN/>
              <w:bidi w:val="0"/>
              <w:adjustRightInd w:val="0"/>
              <w:snapToGrid w:val="0"/>
              <w:spacing w:line="460" w:lineRule="atLeast"/>
              <w:ind w:left="0" w:leftChars="0" w:right="0" w:rightChars="0"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w:t>
            </w:r>
          </w:p>
        </w:tc>
        <w:tc>
          <w:tcPr>
            <w:tcW w:w="1581"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2D89FE5C">
            <w:pPr>
              <w:keepNext w:val="0"/>
              <w:keepLines w:val="0"/>
              <w:pageBreakBefore w:val="0"/>
              <w:widowControl w:val="0"/>
              <w:kinsoku/>
              <w:wordWrap/>
              <w:overflowPunct/>
              <w:topLinePunct w:val="0"/>
              <w:autoSpaceDE/>
              <w:autoSpaceDN/>
              <w:bidi w:val="0"/>
              <w:adjustRightInd w:val="0"/>
              <w:snapToGrid w:val="0"/>
              <w:spacing w:line="460" w:lineRule="atLeast"/>
              <w:ind w:left="0" w:leftChars="0" w:right="0" w:rightChars="0"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资金来源</w:t>
            </w:r>
          </w:p>
        </w:tc>
        <w:tc>
          <w:tcPr>
            <w:tcW w:w="6033"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7D0F1BCB">
            <w:pPr>
              <w:keepNext w:val="0"/>
              <w:keepLines w:val="0"/>
              <w:pageBreakBefore w:val="0"/>
              <w:widowControl w:val="0"/>
              <w:kinsoku/>
              <w:wordWrap/>
              <w:overflowPunct/>
              <w:topLinePunct w:val="0"/>
              <w:autoSpaceDE/>
              <w:autoSpaceDN/>
              <w:bidi w:val="0"/>
              <w:adjustRightInd w:val="0"/>
              <w:snapToGrid w:val="0"/>
              <w:spacing w:line="460" w:lineRule="atLeast"/>
              <w:ind w:left="0" w:leftChars="0" w:right="0" w:rightChars="0"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国有</w:t>
            </w:r>
            <w:r>
              <w:rPr>
                <w:rFonts w:hint="eastAsia" w:ascii="宋体" w:hAnsi="宋体" w:eastAsia="宋体" w:cs="宋体"/>
                <w:color w:val="auto"/>
                <w:sz w:val="21"/>
                <w:szCs w:val="21"/>
                <w:highlight w:val="none"/>
              </w:rPr>
              <w:t>自筹</w:t>
            </w:r>
          </w:p>
        </w:tc>
      </w:tr>
      <w:tr w14:paraId="55777AF2">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rPr>
          <w:trHeight w:val="0" w:hRule="atLeast"/>
          <w:jc w:val="center"/>
        </w:trPr>
        <w:tc>
          <w:tcPr>
            <w:tcW w:w="907"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34CBF5DC">
            <w:pPr>
              <w:keepNext w:val="0"/>
              <w:keepLines w:val="0"/>
              <w:pageBreakBefore w:val="0"/>
              <w:widowControl w:val="0"/>
              <w:kinsoku/>
              <w:wordWrap/>
              <w:overflowPunct/>
              <w:topLinePunct w:val="0"/>
              <w:autoSpaceDE/>
              <w:autoSpaceDN/>
              <w:bidi w:val="0"/>
              <w:adjustRightInd w:val="0"/>
              <w:snapToGrid w:val="0"/>
              <w:spacing w:line="460" w:lineRule="atLeast"/>
              <w:ind w:left="0" w:leftChars="0" w:right="0" w:rightChars="0"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w:t>
            </w:r>
          </w:p>
        </w:tc>
        <w:tc>
          <w:tcPr>
            <w:tcW w:w="1581"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5F166DF2">
            <w:pPr>
              <w:keepNext w:val="0"/>
              <w:keepLines w:val="0"/>
              <w:pageBreakBefore w:val="0"/>
              <w:widowControl w:val="0"/>
              <w:kinsoku/>
              <w:wordWrap/>
              <w:overflowPunct/>
              <w:topLinePunct w:val="0"/>
              <w:autoSpaceDE/>
              <w:autoSpaceDN/>
              <w:bidi w:val="0"/>
              <w:adjustRightInd w:val="0"/>
              <w:snapToGrid w:val="0"/>
              <w:spacing w:line="460" w:lineRule="atLeast"/>
              <w:ind w:left="0" w:leftChars="0" w:right="0" w:rightChars="0"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出资比例</w:t>
            </w:r>
          </w:p>
        </w:tc>
        <w:tc>
          <w:tcPr>
            <w:tcW w:w="6033"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233103A9">
            <w:pPr>
              <w:keepNext w:val="0"/>
              <w:keepLines w:val="0"/>
              <w:pageBreakBefore w:val="0"/>
              <w:widowControl w:val="0"/>
              <w:kinsoku/>
              <w:wordWrap/>
              <w:overflowPunct/>
              <w:topLinePunct w:val="0"/>
              <w:autoSpaceDE/>
              <w:autoSpaceDN/>
              <w:bidi w:val="0"/>
              <w:adjustRightInd w:val="0"/>
              <w:snapToGrid w:val="0"/>
              <w:spacing w:line="460" w:lineRule="atLeast"/>
              <w:ind w:left="0" w:leftChars="0" w:right="0" w:rightChars="0"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100%</w:t>
            </w:r>
          </w:p>
        </w:tc>
      </w:tr>
      <w:tr w14:paraId="22AB72B4">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rPr>
          <w:trHeight w:val="0" w:hRule="atLeast"/>
          <w:jc w:val="center"/>
        </w:trPr>
        <w:tc>
          <w:tcPr>
            <w:tcW w:w="907"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11FEC205">
            <w:pPr>
              <w:keepNext w:val="0"/>
              <w:keepLines w:val="0"/>
              <w:pageBreakBefore w:val="0"/>
              <w:widowControl w:val="0"/>
              <w:kinsoku/>
              <w:wordWrap/>
              <w:overflowPunct/>
              <w:topLinePunct w:val="0"/>
              <w:autoSpaceDE/>
              <w:autoSpaceDN/>
              <w:bidi w:val="0"/>
              <w:adjustRightInd w:val="0"/>
              <w:snapToGrid w:val="0"/>
              <w:spacing w:line="460" w:lineRule="atLeast"/>
              <w:ind w:left="0" w:leftChars="0" w:right="0" w:rightChars="0"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w:t>
            </w:r>
          </w:p>
        </w:tc>
        <w:tc>
          <w:tcPr>
            <w:tcW w:w="1581"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4DDB76F1">
            <w:pPr>
              <w:keepNext w:val="0"/>
              <w:keepLines w:val="0"/>
              <w:pageBreakBefore w:val="0"/>
              <w:widowControl w:val="0"/>
              <w:kinsoku/>
              <w:wordWrap/>
              <w:overflowPunct/>
              <w:topLinePunct w:val="0"/>
              <w:autoSpaceDE/>
              <w:autoSpaceDN/>
              <w:bidi w:val="0"/>
              <w:adjustRightInd w:val="0"/>
              <w:snapToGrid w:val="0"/>
              <w:spacing w:line="460" w:lineRule="atLeast"/>
              <w:ind w:left="0" w:leftChars="0" w:right="0" w:rightChars="0"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资金落实情况</w:t>
            </w:r>
          </w:p>
        </w:tc>
        <w:tc>
          <w:tcPr>
            <w:tcW w:w="6033"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66E0A80E">
            <w:pPr>
              <w:keepNext w:val="0"/>
              <w:keepLines w:val="0"/>
              <w:pageBreakBefore w:val="0"/>
              <w:widowControl w:val="0"/>
              <w:kinsoku/>
              <w:wordWrap/>
              <w:overflowPunct/>
              <w:topLinePunct w:val="0"/>
              <w:autoSpaceDE/>
              <w:autoSpaceDN/>
              <w:bidi w:val="0"/>
              <w:adjustRightInd w:val="0"/>
              <w:snapToGrid w:val="0"/>
              <w:spacing w:line="460" w:lineRule="atLeast"/>
              <w:ind w:left="0" w:leftChars="0" w:right="0" w:rightChars="0"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已落实</w:t>
            </w:r>
          </w:p>
        </w:tc>
      </w:tr>
      <w:tr w14:paraId="1E9EB7EC">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rPr>
          <w:trHeight w:val="0" w:hRule="atLeast"/>
          <w:jc w:val="center"/>
        </w:trPr>
        <w:tc>
          <w:tcPr>
            <w:tcW w:w="907"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7DC0AA37">
            <w:pPr>
              <w:keepNext w:val="0"/>
              <w:keepLines w:val="0"/>
              <w:pageBreakBefore w:val="0"/>
              <w:widowControl w:val="0"/>
              <w:kinsoku/>
              <w:wordWrap/>
              <w:overflowPunct/>
              <w:topLinePunct w:val="0"/>
              <w:autoSpaceDE/>
              <w:autoSpaceDN/>
              <w:bidi w:val="0"/>
              <w:adjustRightInd w:val="0"/>
              <w:snapToGrid w:val="0"/>
              <w:spacing w:line="460" w:lineRule="atLeast"/>
              <w:ind w:left="0" w:leftChars="0" w:right="0" w:rightChars="0"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w:t>
            </w:r>
          </w:p>
        </w:tc>
        <w:tc>
          <w:tcPr>
            <w:tcW w:w="1581"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4942C92D">
            <w:pPr>
              <w:keepNext w:val="0"/>
              <w:keepLines w:val="0"/>
              <w:pageBreakBefore w:val="0"/>
              <w:widowControl w:val="0"/>
              <w:kinsoku/>
              <w:wordWrap/>
              <w:overflowPunct/>
              <w:topLinePunct w:val="0"/>
              <w:autoSpaceDE/>
              <w:autoSpaceDN/>
              <w:bidi w:val="0"/>
              <w:adjustRightInd w:val="0"/>
              <w:snapToGrid w:val="0"/>
              <w:spacing w:line="460" w:lineRule="atLeast"/>
              <w:ind w:left="0" w:leftChars="0" w:right="0" w:rightChars="0"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招标范围</w:t>
            </w:r>
          </w:p>
        </w:tc>
        <w:tc>
          <w:tcPr>
            <w:tcW w:w="6033"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0AC163C2">
            <w:pPr>
              <w:keepNext w:val="0"/>
              <w:keepLines w:val="0"/>
              <w:pageBreakBefore w:val="0"/>
              <w:widowControl w:val="0"/>
              <w:kinsoku/>
              <w:wordWrap/>
              <w:overflowPunct/>
              <w:topLinePunct w:val="0"/>
              <w:autoSpaceDE/>
              <w:autoSpaceDN/>
              <w:bidi w:val="0"/>
              <w:adjustRightInd w:val="0"/>
              <w:snapToGrid w:val="0"/>
              <w:spacing w:line="460" w:lineRule="atLeast"/>
              <w:ind w:left="0" w:leftChars="0" w:right="0" w:rightChars="0"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见招标公告</w:t>
            </w:r>
          </w:p>
        </w:tc>
      </w:tr>
      <w:tr w14:paraId="09A35EEC">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rPr>
          <w:trHeight w:val="0" w:hRule="atLeast"/>
          <w:jc w:val="center"/>
        </w:trPr>
        <w:tc>
          <w:tcPr>
            <w:tcW w:w="907"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080520E0">
            <w:pPr>
              <w:keepNext w:val="0"/>
              <w:keepLines w:val="0"/>
              <w:pageBreakBefore w:val="0"/>
              <w:widowControl w:val="0"/>
              <w:kinsoku/>
              <w:wordWrap/>
              <w:overflowPunct/>
              <w:topLinePunct w:val="0"/>
              <w:autoSpaceDE/>
              <w:autoSpaceDN/>
              <w:bidi w:val="0"/>
              <w:adjustRightInd w:val="0"/>
              <w:snapToGrid w:val="0"/>
              <w:spacing w:line="460" w:lineRule="atLeast"/>
              <w:ind w:left="0" w:leftChars="0" w:right="0" w:rightChars="0"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w:t>
            </w:r>
          </w:p>
        </w:tc>
        <w:tc>
          <w:tcPr>
            <w:tcW w:w="1581"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1621D3BC">
            <w:pPr>
              <w:keepNext w:val="0"/>
              <w:keepLines w:val="0"/>
              <w:pageBreakBefore w:val="0"/>
              <w:widowControl w:val="0"/>
              <w:kinsoku/>
              <w:wordWrap/>
              <w:overflowPunct/>
              <w:topLinePunct w:val="0"/>
              <w:autoSpaceDE/>
              <w:autoSpaceDN/>
              <w:bidi w:val="0"/>
              <w:adjustRightInd w:val="0"/>
              <w:snapToGrid w:val="0"/>
              <w:spacing w:line="460" w:lineRule="atLeast"/>
              <w:ind w:left="0" w:leftChars="0" w:right="0" w:rightChars="0"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服务期</w:t>
            </w:r>
          </w:p>
        </w:tc>
        <w:tc>
          <w:tcPr>
            <w:tcW w:w="6033"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1AF3C8E8">
            <w:pPr>
              <w:keepNext w:val="0"/>
              <w:keepLines w:val="0"/>
              <w:pageBreakBefore w:val="0"/>
              <w:widowControl w:val="0"/>
              <w:kinsoku/>
              <w:wordWrap/>
              <w:overflowPunct/>
              <w:topLinePunct w:val="0"/>
              <w:autoSpaceDE/>
              <w:autoSpaceDN/>
              <w:bidi w:val="0"/>
              <w:adjustRightInd w:val="0"/>
              <w:snapToGrid w:val="0"/>
              <w:spacing w:line="460" w:lineRule="atLeast"/>
              <w:ind w:left="0" w:leftChars="0" w:right="0" w:rightChars="0"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见招标公告</w:t>
            </w:r>
          </w:p>
        </w:tc>
      </w:tr>
      <w:tr w14:paraId="47137B2E">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rPr>
          <w:trHeight w:val="0" w:hRule="atLeast"/>
          <w:jc w:val="center"/>
        </w:trPr>
        <w:tc>
          <w:tcPr>
            <w:tcW w:w="907"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4BA466E8">
            <w:pPr>
              <w:keepNext w:val="0"/>
              <w:keepLines w:val="0"/>
              <w:pageBreakBefore w:val="0"/>
              <w:widowControl w:val="0"/>
              <w:kinsoku/>
              <w:wordWrap/>
              <w:overflowPunct/>
              <w:topLinePunct w:val="0"/>
              <w:autoSpaceDE/>
              <w:autoSpaceDN/>
              <w:bidi w:val="0"/>
              <w:adjustRightInd w:val="0"/>
              <w:snapToGrid w:val="0"/>
              <w:spacing w:line="460" w:lineRule="atLeast"/>
              <w:ind w:left="0" w:leftChars="0" w:right="0" w:rightChars="0"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w:t>
            </w:r>
          </w:p>
        </w:tc>
        <w:tc>
          <w:tcPr>
            <w:tcW w:w="1581"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6EB98FE7">
            <w:pPr>
              <w:keepNext w:val="0"/>
              <w:keepLines w:val="0"/>
              <w:pageBreakBefore w:val="0"/>
              <w:widowControl w:val="0"/>
              <w:kinsoku/>
              <w:wordWrap/>
              <w:overflowPunct/>
              <w:topLinePunct w:val="0"/>
              <w:autoSpaceDE/>
              <w:autoSpaceDN/>
              <w:bidi w:val="0"/>
              <w:adjustRightInd w:val="0"/>
              <w:snapToGrid w:val="0"/>
              <w:spacing w:line="460" w:lineRule="atLeast"/>
              <w:ind w:left="0" w:leftChars="0" w:right="0" w:rightChars="0"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服务地点</w:t>
            </w:r>
          </w:p>
        </w:tc>
        <w:tc>
          <w:tcPr>
            <w:tcW w:w="6033"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399525BA">
            <w:pPr>
              <w:keepNext w:val="0"/>
              <w:keepLines w:val="0"/>
              <w:pageBreakBefore w:val="0"/>
              <w:widowControl w:val="0"/>
              <w:kinsoku/>
              <w:wordWrap/>
              <w:overflowPunct/>
              <w:topLinePunct w:val="0"/>
              <w:autoSpaceDE/>
              <w:autoSpaceDN/>
              <w:bidi w:val="0"/>
              <w:adjustRightInd w:val="0"/>
              <w:snapToGrid w:val="0"/>
              <w:spacing w:line="460" w:lineRule="atLeast"/>
              <w:ind w:left="0" w:leftChars="0" w:right="0" w:rightChars="0"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见招标公告</w:t>
            </w:r>
          </w:p>
        </w:tc>
      </w:tr>
      <w:tr w14:paraId="12D8A844">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rPr>
          <w:trHeight w:val="0" w:hRule="atLeast"/>
          <w:jc w:val="center"/>
        </w:trPr>
        <w:tc>
          <w:tcPr>
            <w:tcW w:w="907"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2E5FEF13">
            <w:pPr>
              <w:keepNext w:val="0"/>
              <w:keepLines w:val="0"/>
              <w:pageBreakBefore w:val="0"/>
              <w:widowControl w:val="0"/>
              <w:kinsoku/>
              <w:wordWrap/>
              <w:overflowPunct/>
              <w:topLinePunct w:val="0"/>
              <w:autoSpaceDE/>
              <w:autoSpaceDN/>
              <w:bidi w:val="0"/>
              <w:adjustRightInd w:val="0"/>
              <w:snapToGrid w:val="0"/>
              <w:spacing w:line="460" w:lineRule="atLeast"/>
              <w:ind w:left="0" w:leftChars="0" w:right="0" w:rightChars="0"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w:t>
            </w:r>
          </w:p>
        </w:tc>
        <w:tc>
          <w:tcPr>
            <w:tcW w:w="1581"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39EF8187">
            <w:pPr>
              <w:keepNext w:val="0"/>
              <w:keepLines w:val="0"/>
              <w:pageBreakBefore w:val="0"/>
              <w:widowControl w:val="0"/>
              <w:kinsoku/>
              <w:wordWrap/>
              <w:overflowPunct/>
              <w:topLinePunct w:val="0"/>
              <w:autoSpaceDE/>
              <w:autoSpaceDN/>
              <w:bidi w:val="0"/>
              <w:adjustRightInd w:val="0"/>
              <w:snapToGrid w:val="0"/>
              <w:spacing w:line="460" w:lineRule="atLeast"/>
              <w:ind w:left="0" w:leftChars="0" w:right="0" w:rightChars="0"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质量要求及验收标准</w:t>
            </w:r>
          </w:p>
        </w:tc>
        <w:tc>
          <w:tcPr>
            <w:tcW w:w="6033"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5475E60B">
            <w:pPr>
              <w:keepNext w:val="0"/>
              <w:keepLines w:val="0"/>
              <w:pageBreakBefore w:val="0"/>
              <w:widowControl w:val="0"/>
              <w:kinsoku/>
              <w:wordWrap/>
              <w:overflowPunct/>
              <w:topLinePunct w:val="0"/>
              <w:autoSpaceDE/>
              <w:autoSpaceDN/>
              <w:bidi w:val="0"/>
              <w:adjustRightInd w:val="0"/>
              <w:snapToGrid w:val="0"/>
              <w:spacing w:line="460" w:lineRule="atLeast"/>
              <w:ind w:left="0" w:leftChars="0" w:right="0" w:rightChars="0"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合格标准，详见招标公告</w:t>
            </w:r>
          </w:p>
        </w:tc>
      </w:tr>
      <w:tr w14:paraId="548DF4C1">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rPr>
          <w:trHeight w:val="0" w:hRule="atLeast"/>
          <w:jc w:val="center"/>
        </w:trPr>
        <w:tc>
          <w:tcPr>
            <w:tcW w:w="907"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2FA49056">
            <w:pPr>
              <w:keepNext w:val="0"/>
              <w:keepLines w:val="0"/>
              <w:pageBreakBefore w:val="0"/>
              <w:widowControl w:val="0"/>
              <w:kinsoku/>
              <w:wordWrap/>
              <w:overflowPunct/>
              <w:topLinePunct w:val="0"/>
              <w:autoSpaceDE/>
              <w:autoSpaceDN/>
              <w:bidi w:val="0"/>
              <w:adjustRightInd w:val="0"/>
              <w:snapToGrid w:val="0"/>
              <w:spacing w:line="460" w:lineRule="atLeast"/>
              <w:ind w:left="0" w:leftChars="0" w:right="0" w:rightChars="0"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w:t>
            </w:r>
          </w:p>
        </w:tc>
        <w:tc>
          <w:tcPr>
            <w:tcW w:w="1581"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7F2A5C61">
            <w:pPr>
              <w:keepNext w:val="0"/>
              <w:keepLines w:val="0"/>
              <w:pageBreakBefore w:val="0"/>
              <w:widowControl w:val="0"/>
              <w:kinsoku/>
              <w:wordWrap/>
              <w:overflowPunct/>
              <w:topLinePunct w:val="0"/>
              <w:autoSpaceDE/>
              <w:autoSpaceDN/>
              <w:bidi w:val="0"/>
              <w:adjustRightInd w:val="0"/>
              <w:snapToGrid w:val="0"/>
              <w:spacing w:line="460" w:lineRule="atLeast"/>
              <w:ind w:left="0" w:leftChars="0" w:right="0" w:rightChars="0"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投标人资格要求</w:t>
            </w:r>
          </w:p>
        </w:tc>
        <w:tc>
          <w:tcPr>
            <w:tcW w:w="6033"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2EC9FE2C">
            <w:pPr>
              <w:keepNext w:val="0"/>
              <w:keepLines w:val="0"/>
              <w:pageBreakBefore w:val="0"/>
              <w:widowControl w:val="0"/>
              <w:kinsoku/>
              <w:wordWrap/>
              <w:overflowPunct/>
              <w:topLinePunct w:val="0"/>
              <w:autoSpaceDE/>
              <w:autoSpaceDN/>
              <w:bidi w:val="0"/>
              <w:adjustRightInd w:val="0"/>
              <w:snapToGrid w:val="0"/>
              <w:spacing w:line="460" w:lineRule="atLeast"/>
              <w:ind w:left="0" w:leftChars="0" w:right="0" w:rightChars="0"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见招标公告</w:t>
            </w:r>
          </w:p>
        </w:tc>
      </w:tr>
      <w:tr w14:paraId="44DB1D72">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rPr>
          <w:trHeight w:val="0" w:hRule="atLeast"/>
          <w:jc w:val="center"/>
        </w:trPr>
        <w:tc>
          <w:tcPr>
            <w:tcW w:w="907"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503531CD">
            <w:pPr>
              <w:keepNext w:val="0"/>
              <w:keepLines w:val="0"/>
              <w:pageBreakBefore w:val="0"/>
              <w:widowControl w:val="0"/>
              <w:kinsoku/>
              <w:wordWrap/>
              <w:overflowPunct/>
              <w:topLinePunct w:val="0"/>
              <w:autoSpaceDE/>
              <w:autoSpaceDN/>
              <w:bidi w:val="0"/>
              <w:adjustRightInd w:val="0"/>
              <w:snapToGrid w:val="0"/>
              <w:spacing w:line="460" w:lineRule="atLeast"/>
              <w:ind w:left="0" w:leftChars="0" w:right="0" w:rightChars="0"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w:t>
            </w:r>
          </w:p>
        </w:tc>
        <w:tc>
          <w:tcPr>
            <w:tcW w:w="1581"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6E532685">
            <w:pPr>
              <w:keepNext w:val="0"/>
              <w:keepLines w:val="0"/>
              <w:pageBreakBefore w:val="0"/>
              <w:widowControl w:val="0"/>
              <w:kinsoku/>
              <w:wordWrap/>
              <w:overflowPunct/>
              <w:topLinePunct w:val="0"/>
              <w:autoSpaceDE/>
              <w:autoSpaceDN/>
              <w:bidi w:val="0"/>
              <w:adjustRightInd w:val="0"/>
              <w:snapToGrid w:val="0"/>
              <w:spacing w:line="460" w:lineRule="atLeast"/>
              <w:ind w:left="0" w:leftChars="0" w:right="0" w:rightChars="0"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是否接受联合体投标</w:t>
            </w:r>
          </w:p>
        </w:tc>
        <w:tc>
          <w:tcPr>
            <w:tcW w:w="6033"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6BB82E7A">
            <w:pPr>
              <w:keepNext w:val="0"/>
              <w:keepLines w:val="0"/>
              <w:pageBreakBefore w:val="0"/>
              <w:widowControl w:val="0"/>
              <w:kinsoku/>
              <w:wordWrap/>
              <w:overflowPunct/>
              <w:topLinePunct w:val="0"/>
              <w:autoSpaceDE/>
              <w:autoSpaceDN/>
              <w:bidi w:val="0"/>
              <w:adjustRightInd w:val="0"/>
              <w:snapToGrid w:val="0"/>
              <w:spacing w:line="460" w:lineRule="atLeast"/>
              <w:ind w:left="0" w:leftChars="0" w:right="0" w:rightChars="0"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见招标公告</w:t>
            </w:r>
          </w:p>
        </w:tc>
      </w:tr>
      <w:tr w14:paraId="5368A7E6">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rPr>
          <w:trHeight w:val="0" w:hRule="atLeast"/>
          <w:jc w:val="center"/>
        </w:trPr>
        <w:tc>
          <w:tcPr>
            <w:tcW w:w="907"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77C28145">
            <w:pPr>
              <w:keepNext w:val="0"/>
              <w:keepLines w:val="0"/>
              <w:pageBreakBefore w:val="0"/>
              <w:widowControl w:val="0"/>
              <w:kinsoku/>
              <w:wordWrap/>
              <w:overflowPunct/>
              <w:topLinePunct w:val="0"/>
              <w:autoSpaceDE/>
              <w:autoSpaceDN/>
              <w:bidi w:val="0"/>
              <w:adjustRightInd w:val="0"/>
              <w:snapToGrid w:val="0"/>
              <w:spacing w:line="460" w:lineRule="atLeast"/>
              <w:ind w:left="0" w:leftChars="0" w:right="0" w:rightChars="0"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14</w:t>
            </w:r>
          </w:p>
        </w:tc>
        <w:tc>
          <w:tcPr>
            <w:tcW w:w="1581"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0B7DCF3B">
            <w:pPr>
              <w:keepNext w:val="0"/>
              <w:keepLines w:val="0"/>
              <w:pageBreakBefore w:val="0"/>
              <w:widowControl w:val="0"/>
              <w:kinsoku/>
              <w:wordWrap/>
              <w:overflowPunct/>
              <w:topLinePunct w:val="0"/>
              <w:autoSpaceDE/>
              <w:autoSpaceDN/>
              <w:bidi w:val="0"/>
              <w:adjustRightInd w:val="0"/>
              <w:snapToGrid w:val="0"/>
              <w:spacing w:line="460" w:lineRule="atLeast"/>
              <w:ind w:left="0" w:leftChars="0" w:right="0" w:rightChars="0"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投标人不得存在的其他情形</w:t>
            </w:r>
          </w:p>
        </w:tc>
        <w:tc>
          <w:tcPr>
            <w:tcW w:w="6033"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47AC81E6">
            <w:pPr>
              <w:keepNext w:val="0"/>
              <w:keepLines w:val="0"/>
              <w:pageBreakBefore w:val="0"/>
              <w:widowControl w:val="0"/>
              <w:kinsoku/>
              <w:wordWrap/>
              <w:overflowPunct/>
              <w:topLinePunct w:val="0"/>
              <w:autoSpaceDE/>
              <w:autoSpaceDN/>
              <w:bidi w:val="0"/>
              <w:adjustRightInd w:val="0"/>
              <w:snapToGrid w:val="0"/>
              <w:spacing w:line="460" w:lineRule="atLeast"/>
              <w:ind w:left="0" w:leftChars="0" w:right="0" w:rightChars="0"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详见招标文件</w:t>
            </w:r>
          </w:p>
        </w:tc>
      </w:tr>
      <w:tr w14:paraId="2D6FB781">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rPr>
          <w:trHeight w:val="0" w:hRule="atLeast"/>
          <w:jc w:val="center"/>
        </w:trPr>
        <w:tc>
          <w:tcPr>
            <w:tcW w:w="907"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725BDB44">
            <w:pPr>
              <w:keepNext w:val="0"/>
              <w:keepLines w:val="0"/>
              <w:pageBreakBefore w:val="0"/>
              <w:widowControl w:val="0"/>
              <w:kinsoku/>
              <w:wordWrap/>
              <w:overflowPunct/>
              <w:topLinePunct w:val="0"/>
              <w:autoSpaceDE/>
              <w:autoSpaceDN/>
              <w:bidi w:val="0"/>
              <w:adjustRightInd w:val="0"/>
              <w:snapToGrid w:val="0"/>
              <w:spacing w:line="460" w:lineRule="atLeast"/>
              <w:ind w:left="0" w:leftChars="0" w:right="0" w:rightChars="0"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15</w:t>
            </w:r>
          </w:p>
        </w:tc>
        <w:tc>
          <w:tcPr>
            <w:tcW w:w="1581"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348C0CC5">
            <w:pPr>
              <w:keepNext w:val="0"/>
              <w:keepLines w:val="0"/>
              <w:pageBreakBefore w:val="0"/>
              <w:widowControl w:val="0"/>
              <w:kinsoku/>
              <w:wordWrap/>
              <w:overflowPunct/>
              <w:topLinePunct w:val="0"/>
              <w:autoSpaceDE/>
              <w:autoSpaceDN/>
              <w:bidi w:val="0"/>
              <w:adjustRightInd w:val="0"/>
              <w:snapToGrid w:val="0"/>
              <w:spacing w:line="460" w:lineRule="atLeast"/>
              <w:ind w:left="0" w:leftChars="0" w:right="0" w:rightChars="0"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踏勘现场</w:t>
            </w:r>
          </w:p>
        </w:tc>
        <w:tc>
          <w:tcPr>
            <w:tcW w:w="6033"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4D658133">
            <w:pPr>
              <w:keepNext w:val="0"/>
              <w:keepLines w:val="0"/>
              <w:pageBreakBefore w:val="0"/>
              <w:widowControl w:val="0"/>
              <w:kinsoku/>
              <w:wordWrap/>
              <w:overflowPunct/>
              <w:topLinePunct w:val="0"/>
              <w:autoSpaceDE/>
              <w:autoSpaceDN/>
              <w:bidi w:val="0"/>
              <w:adjustRightInd w:val="0"/>
              <w:snapToGrid w:val="0"/>
              <w:spacing w:line="460" w:lineRule="atLeast"/>
              <w:ind w:left="0" w:leftChars="0" w:right="0" w:rightChars="0"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投标人自行踏勘</w:t>
            </w:r>
          </w:p>
          <w:p w14:paraId="5EA2B062">
            <w:pPr>
              <w:keepNext w:val="0"/>
              <w:keepLines w:val="0"/>
              <w:pageBreakBefore w:val="0"/>
              <w:widowControl w:val="0"/>
              <w:kinsoku/>
              <w:wordWrap/>
              <w:overflowPunct/>
              <w:topLinePunct w:val="0"/>
              <w:autoSpaceDE/>
              <w:autoSpaceDN/>
              <w:bidi w:val="0"/>
              <w:adjustRightInd w:val="0"/>
              <w:snapToGrid w:val="0"/>
              <w:spacing w:line="460" w:lineRule="atLeast"/>
              <w:ind w:left="0" w:leftChars="0" w:right="0" w:rightChars="0"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联系人：褚先生</w:t>
            </w:r>
          </w:p>
          <w:p w14:paraId="2CCEE288">
            <w:pPr>
              <w:keepNext w:val="0"/>
              <w:keepLines w:val="0"/>
              <w:pageBreakBefore w:val="0"/>
              <w:widowControl w:val="0"/>
              <w:kinsoku/>
              <w:wordWrap/>
              <w:overflowPunct/>
              <w:topLinePunct w:val="0"/>
              <w:autoSpaceDE/>
              <w:autoSpaceDN/>
              <w:bidi w:val="0"/>
              <w:adjustRightInd w:val="0"/>
              <w:snapToGrid w:val="0"/>
              <w:spacing w:line="460" w:lineRule="atLeast"/>
              <w:ind w:left="0" w:leftChars="0" w:right="0" w:rightChars="0"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电话：17352301773</w:t>
            </w:r>
          </w:p>
        </w:tc>
      </w:tr>
      <w:tr w14:paraId="19A1A94E">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rPr>
          <w:trHeight w:val="0" w:hRule="atLeast"/>
          <w:jc w:val="center"/>
        </w:trPr>
        <w:tc>
          <w:tcPr>
            <w:tcW w:w="907"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31E15C84">
            <w:pPr>
              <w:keepNext w:val="0"/>
              <w:keepLines w:val="0"/>
              <w:pageBreakBefore w:val="0"/>
              <w:widowControl w:val="0"/>
              <w:kinsoku/>
              <w:wordWrap/>
              <w:overflowPunct/>
              <w:topLinePunct w:val="0"/>
              <w:autoSpaceDE/>
              <w:autoSpaceDN/>
              <w:bidi w:val="0"/>
              <w:adjustRightInd w:val="0"/>
              <w:snapToGrid w:val="0"/>
              <w:spacing w:line="460" w:lineRule="atLeast"/>
              <w:ind w:left="0" w:leftChars="0" w:right="0" w:rightChars="0"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16</w:t>
            </w:r>
          </w:p>
        </w:tc>
        <w:tc>
          <w:tcPr>
            <w:tcW w:w="1581"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33DE1757">
            <w:pPr>
              <w:keepNext w:val="0"/>
              <w:keepLines w:val="0"/>
              <w:pageBreakBefore w:val="0"/>
              <w:widowControl w:val="0"/>
              <w:kinsoku/>
              <w:wordWrap/>
              <w:overflowPunct/>
              <w:topLinePunct w:val="0"/>
              <w:autoSpaceDE/>
              <w:autoSpaceDN/>
              <w:bidi w:val="0"/>
              <w:adjustRightInd w:val="0"/>
              <w:snapToGrid w:val="0"/>
              <w:spacing w:line="460" w:lineRule="atLeast"/>
              <w:ind w:left="0" w:leftChars="0" w:right="0" w:rightChars="0"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分包</w:t>
            </w:r>
          </w:p>
        </w:tc>
        <w:tc>
          <w:tcPr>
            <w:tcW w:w="6033"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2E5F83A1">
            <w:pPr>
              <w:keepNext w:val="0"/>
              <w:keepLines w:val="0"/>
              <w:pageBreakBefore w:val="0"/>
              <w:widowControl w:val="0"/>
              <w:kinsoku/>
              <w:wordWrap/>
              <w:overflowPunct/>
              <w:topLinePunct w:val="0"/>
              <w:autoSpaceDE/>
              <w:autoSpaceDN/>
              <w:bidi w:val="0"/>
              <w:adjustRightInd w:val="0"/>
              <w:snapToGrid w:val="0"/>
              <w:spacing w:line="460" w:lineRule="atLeast"/>
              <w:ind w:left="0" w:leftChars="0" w:right="0" w:rightChars="0"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不允许</w:t>
            </w:r>
          </w:p>
        </w:tc>
      </w:tr>
      <w:tr w14:paraId="77C198B4">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rPr>
          <w:trHeight w:val="0" w:hRule="atLeast"/>
          <w:jc w:val="center"/>
        </w:trPr>
        <w:tc>
          <w:tcPr>
            <w:tcW w:w="907"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74FB7B1D">
            <w:pPr>
              <w:keepNext w:val="0"/>
              <w:keepLines w:val="0"/>
              <w:pageBreakBefore w:val="0"/>
              <w:widowControl w:val="0"/>
              <w:kinsoku/>
              <w:wordWrap/>
              <w:overflowPunct/>
              <w:topLinePunct w:val="0"/>
              <w:autoSpaceDE/>
              <w:autoSpaceDN/>
              <w:bidi w:val="0"/>
              <w:adjustRightInd w:val="0"/>
              <w:snapToGrid w:val="0"/>
              <w:spacing w:line="460" w:lineRule="atLeast"/>
              <w:ind w:left="0" w:leftChars="0" w:right="0" w:rightChars="0"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17</w:t>
            </w:r>
          </w:p>
        </w:tc>
        <w:tc>
          <w:tcPr>
            <w:tcW w:w="1581"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371F0721">
            <w:pPr>
              <w:keepNext w:val="0"/>
              <w:keepLines w:val="0"/>
              <w:pageBreakBefore w:val="0"/>
              <w:widowControl w:val="0"/>
              <w:kinsoku/>
              <w:wordWrap/>
              <w:overflowPunct/>
              <w:topLinePunct w:val="0"/>
              <w:autoSpaceDE/>
              <w:autoSpaceDN/>
              <w:bidi w:val="0"/>
              <w:adjustRightInd w:val="0"/>
              <w:snapToGrid w:val="0"/>
              <w:spacing w:line="460" w:lineRule="atLeast"/>
              <w:ind w:left="0" w:leftChars="0" w:right="0" w:rightChars="0"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偏差</w:t>
            </w:r>
          </w:p>
        </w:tc>
        <w:tc>
          <w:tcPr>
            <w:tcW w:w="6033"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0C1235D0">
            <w:pPr>
              <w:keepNext w:val="0"/>
              <w:keepLines w:val="0"/>
              <w:pageBreakBefore w:val="0"/>
              <w:widowControl w:val="0"/>
              <w:kinsoku/>
              <w:wordWrap/>
              <w:overflowPunct/>
              <w:topLinePunct w:val="0"/>
              <w:autoSpaceDE/>
              <w:autoSpaceDN/>
              <w:bidi w:val="0"/>
              <w:adjustRightInd w:val="0"/>
              <w:snapToGrid w:val="0"/>
              <w:spacing w:line="460" w:lineRule="atLeast"/>
              <w:ind w:left="0" w:leftChars="0" w:right="0" w:rightChars="0"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不允许</w:t>
            </w:r>
          </w:p>
        </w:tc>
      </w:tr>
      <w:tr w14:paraId="60992F17">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rPr>
          <w:trHeight w:val="0" w:hRule="atLeast"/>
          <w:jc w:val="center"/>
        </w:trPr>
        <w:tc>
          <w:tcPr>
            <w:tcW w:w="907"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526D362B">
            <w:pPr>
              <w:keepNext w:val="0"/>
              <w:keepLines w:val="0"/>
              <w:pageBreakBefore w:val="0"/>
              <w:widowControl w:val="0"/>
              <w:kinsoku/>
              <w:wordWrap/>
              <w:overflowPunct/>
              <w:topLinePunct w:val="0"/>
              <w:autoSpaceDE/>
              <w:autoSpaceDN/>
              <w:bidi w:val="0"/>
              <w:adjustRightInd w:val="0"/>
              <w:snapToGrid w:val="0"/>
              <w:spacing w:line="460" w:lineRule="atLeast"/>
              <w:ind w:left="0" w:leftChars="0" w:right="0" w:rightChars="0"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18</w:t>
            </w:r>
          </w:p>
        </w:tc>
        <w:tc>
          <w:tcPr>
            <w:tcW w:w="1581"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195C910E">
            <w:pPr>
              <w:keepNext w:val="0"/>
              <w:keepLines w:val="0"/>
              <w:pageBreakBefore w:val="0"/>
              <w:widowControl w:val="0"/>
              <w:kinsoku/>
              <w:wordWrap/>
              <w:overflowPunct/>
              <w:topLinePunct w:val="0"/>
              <w:autoSpaceDE/>
              <w:autoSpaceDN/>
              <w:bidi w:val="0"/>
              <w:adjustRightInd w:val="0"/>
              <w:snapToGrid w:val="0"/>
              <w:spacing w:line="460" w:lineRule="atLeast"/>
              <w:ind w:left="0" w:leftChars="0" w:right="0" w:rightChars="0"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招标文件组成</w:t>
            </w:r>
          </w:p>
        </w:tc>
        <w:tc>
          <w:tcPr>
            <w:tcW w:w="6033"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5896A9CF">
            <w:pPr>
              <w:keepNext w:val="0"/>
              <w:keepLines w:val="0"/>
              <w:pageBreakBefore w:val="0"/>
              <w:widowControl w:val="0"/>
              <w:kinsoku/>
              <w:wordWrap/>
              <w:overflowPunct/>
              <w:topLinePunct w:val="0"/>
              <w:autoSpaceDE/>
              <w:autoSpaceDN/>
              <w:bidi w:val="0"/>
              <w:adjustRightInd w:val="0"/>
              <w:snapToGrid w:val="0"/>
              <w:spacing w:line="460" w:lineRule="atLeast"/>
              <w:textAlignment w:val="auto"/>
              <w:rPr>
                <w:rFonts w:hint="eastAsia" w:ascii="宋体" w:hAnsi="宋体" w:eastAsia="宋体" w:cs="宋体"/>
                <w:color w:val="auto"/>
                <w:kern w:val="2"/>
                <w:sz w:val="21"/>
                <w:szCs w:val="21"/>
                <w:highlight w:val="none"/>
                <w:u w:val="single"/>
              </w:rPr>
            </w:pPr>
            <w:r>
              <w:rPr>
                <w:rFonts w:hint="eastAsia" w:ascii="宋体" w:hAnsi="宋体" w:eastAsia="宋体" w:cs="宋体"/>
                <w:color w:val="auto"/>
                <w:sz w:val="21"/>
                <w:szCs w:val="21"/>
                <w:highlight w:val="none"/>
                <w:u w:val="single"/>
              </w:rPr>
              <w:t>书面及电子版。电子版公告附件处自行下载，纸质版可至招标代理机构领取。</w:t>
            </w:r>
          </w:p>
          <w:p w14:paraId="4DBA6CF9">
            <w:pPr>
              <w:keepNext w:val="0"/>
              <w:keepLines w:val="0"/>
              <w:pageBreakBefore w:val="0"/>
              <w:widowControl w:val="0"/>
              <w:kinsoku/>
              <w:wordWrap/>
              <w:overflowPunct/>
              <w:topLinePunct w:val="0"/>
              <w:autoSpaceDE/>
              <w:autoSpaceDN/>
              <w:bidi w:val="0"/>
              <w:adjustRightInd w:val="0"/>
              <w:snapToGrid w:val="0"/>
              <w:spacing w:line="460" w:lineRule="atLeast"/>
              <w:ind w:left="0" w:leftChars="0" w:right="0" w:rightChars="0"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u w:val="single"/>
              </w:rPr>
              <w:t>招标文件工本费为人民币 100 元整。缴纳方式:投标人可在递交投标文件时以现金形式向招标代理机构缴纳，也可在领取纸质版招标文件时以现金形式向招标代理机构缴纳。</w:t>
            </w:r>
          </w:p>
        </w:tc>
      </w:tr>
      <w:tr w14:paraId="6E38BD4D">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rPr>
          <w:trHeight w:val="0" w:hRule="atLeast"/>
          <w:jc w:val="center"/>
        </w:trPr>
        <w:tc>
          <w:tcPr>
            <w:tcW w:w="907"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6F01C622">
            <w:pPr>
              <w:keepNext w:val="0"/>
              <w:keepLines w:val="0"/>
              <w:pageBreakBefore w:val="0"/>
              <w:widowControl w:val="0"/>
              <w:kinsoku/>
              <w:wordWrap/>
              <w:overflowPunct/>
              <w:topLinePunct w:val="0"/>
              <w:autoSpaceDE/>
              <w:autoSpaceDN/>
              <w:bidi w:val="0"/>
              <w:adjustRightInd w:val="0"/>
              <w:snapToGrid w:val="0"/>
              <w:spacing w:line="460" w:lineRule="atLeast"/>
              <w:ind w:left="0" w:leftChars="0" w:right="0" w:rightChars="0"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19</w:t>
            </w:r>
          </w:p>
        </w:tc>
        <w:tc>
          <w:tcPr>
            <w:tcW w:w="1581"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3CA0A60D">
            <w:pPr>
              <w:keepNext w:val="0"/>
              <w:keepLines w:val="0"/>
              <w:pageBreakBefore w:val="0"/>
              <w:widowControl w:val="0"/>
              <w:kinsoku/>
              <w:wordWrap/>
              <w:overflowPunct/>
              <w:topLinePunct w:val="0"/>
              <w:autoSpaceDE/>
              <w:autoSpaceDN/>
              <w:bidi w:val="0"/>
              <w:adjustRightInd w:val="0"/>
              <w:snapToGrid w:val="0"/>
              <w:spacing w:line="460" w:lineRule="atLeast"/>
              <w:ind w:left="0" w:leftChars="0" w:right="0" w:rightChars="0"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投标人要求澄清招标文件</w:t>
            </w:r>
          </w:p>
        </w:tc>
        <w:tc>
          <w:tcPr>
            <w:tcW w:w="6033"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3532A468">
            <w:pPr>
              <w:keepNext w:val="0"/>
              <w:keepLines w:val="0"/>
              <w:pageBreakBefore w:val="0"/>
              <w:widowControl w:val="0"/>
              <w:kinsoku/>
              <w:wordWrap/>
              <w:overflowPunct/>
              <w:topLinePunct w:val="0"/>
              <w:autoSpaceDE/>
              <w:autoSpaceDN/>
              <w:bidi w:val="0"/>
              <w:adjustRightInd w:val="0"/>
              <w:snapToGrid w:val="0"/>
              <w:spacing w:line="460" w:lineRule="atLeast"/>
              <w:ind w:left="0" w:leftChars="0" w:right="0" w:rightChars="0"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时  间：</w:t>
            </w:r>
            <w:bookmarkStart w:id="19" w:name="EBba536797f89d46c5b540dcd7f2c6ebfa"/>
            <w:r>
              <w:rPr>
                <w:rFonts w:hint="eastAsia" w:ascii="宋体" w:hAnsi="宋体" w:eastAsia="宋体" w:cs="宋体"/>
                <w:color w:val="auto"/>
                <w:sz w:val="21"/>
                <w:szCs w:val="21"/>
                <w:highlight w:val="none"/>
              </w:rPr>
              <w:t>202</w:t>
            </w: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u w:val="single"/>
                <w:lang w:val="en-US" w:eastAsia="zh-CN"/>
              </w:rPr>
              <w:t xml:space="preserve">  2 </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u w:val="single"/>
                <w:lang w:val="en-US" w:eastAsia="zh-CN"/>
              </w:rPr>
              <w:t xml:space="preserve">  27  </w:t>
            </w:r>
            <w:r>
              <w:rPr>
                <w:rFonts w:hint="eastAsia" w:ascii="宋体" w:hAnsi="宋体" w:eastAsia="宋体" w:cs="宋体"/>
                <w:color w:val="auto"/>
                <w:sz w:val="21"/>
                <w:szCs w:val="21"/>
                <w:highlight w:val="none"/>
              </w:rPr>
              <w:t>日12时前</w:t>
            </w:r>
            <w:bookmarkEnd w:id="19"/>
          </w:p>
          <w:p w14:paraId="37693721">
            <w:pPr>
              <w:keepNext w:val="0"/>
              <w:keepLines w:val="0"/>
              <w:pageBreakBefore w:val="0"/>
              <w:widowControl w:val="0"/>
              <w:kinsoku/>
              <w:wordWrap/>
              <w:overflowPunct/>
              <w:topLinePunct w:val="0"/>
              <w:autoSpaceDE/>
              <w:autoSpaceDN/>
              <w:bidi w:val="0"/>
              <w:adjustRightInd w:val="0"/>
              <w:snapToGrid w:val="0"/>
              <w:spacing w:line="460" w:lineRule="atLeast"/>
              <w:ind w:left="0" w:leftChars="0" w:right="0" w:rightChars="0"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形</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式：书面形式</w:t>
            </w:r>
          </w:p>
        </w:tc>
      </w:tr>
      <w:tr w14:paraId="2886D073">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rPr>
          <w:trHeight w:val="0" w:hRule="atLeast"/>
          <w:jc w:val="center"/>
        </w:trPr>
        <w:tc>
          <w:tcPr>
            <w:tcW w:w="907"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46AD6A80">
            <w:pPr>
              <w:keepNext w:val="0"/>
              <w:keepLines w:val="0"/>
              <w:pageBreakBefore w:val="0"/>
              <w:widowControl w:val="0"/>
              <w:kinsoku/>
              <w:wordWrap/>
              <w:overflowPunct/>
              <w:topLinePunct w:val="0"/>
              <w:autoSpaceDE/>
              <w:autoSpaceDN/>
              <w:bidi w:val="0"/>
              <w:adjustRightInd w:val="0"/>
              <w:snapToGrid w:val="0"/>
              <w:spacing w:line="460" w:lineRule="atLeast"/>
              <w:ind w:left="0" w:leftChars="0" w:right="0" w:rightChars="0"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20</w:t>
            </w:r>
          </w:p>
        </w:tc>
        <w:tc>
          <w:tcPr>
            <w:tcW w:w="1581"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6B4A6327">
            <w:pPr>
              <w:keepNext w:val="0"/>
              <w:keepLines w:val="0"/>
              <w:pageBreakBefore w:val="0"/>
              <w:widowControl w:val="0"/>
              <w:kinsoku/>
              <w:wordWrap/>
              <w:overflowPunct/>
              <w:topLinePunct w:val="0"/>
              <w:autoSpaceDE/>
              <w:autoSpaceDN/>
              <w:bidi w:val="0"/>
              <w:adjustRightInd w:val="0"/>
              <w:snapToGrid w:val="0"/>
              <w:spacing w:line="460" w:lineRule="atLeast"/>
              <w:ind w:left="0" w:leftChars="0" w:right="0" w:rightChars="0"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招标人澄清招标文件</w:t>
            </w:r>
          </w:p>
        </w:tc>
        <w:tc>
          <w:tcPr>
            <w:tcW w:w="6033"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07FF108C">
            <w:pPr>
              <w:keepNext w:val="0"/>
              <w:keepLines w:val="0"/>
              <w:pageBreakBefore w:val="0"/>
              <w:widowControl w:val="0"/>
              <w:kinsoku/>
              <w:wordWrap/>
              <w:overflowPunct/>
              <w:topLinePunct w:val="0"/>
              <w:autoSpaceDE/>
              <w:autoSpaceDN/>
              <w:bidi w:val="0"/>
              <w:adjustRightInd w:val="0"/>
              <w:snapToGrid w:val="0"/>
              <w:spacing w:line="460" w:lineRule="atLeast"/>
              <w:ind w:left="0" w:leftChars="0" w:right="0" w:rightChars="0"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时间：投标截止时间前，距投标时间不足3日的，并且澄清内容影响投标文件编制的，将相应延长投标截止时间。</w:t>
            </w:r>
          </w:p>
          <w:p w14:paraId="57AB6B5F">
            <w:pPr>
              <w:keepNext w:val="0"/>
              <w:keepLines w:val="0"/>
              <w:pageBreakBefore w:val="0"/>
              <w:widowControl w:val="0"/>
              <w:kinsoku/>
              <w:wordWrap/>
              <w:overflowPunct/>
              <w:topLinePunct w:val="0"/>
              <w:autoSpaceDE/>
              <w:autoSpaceDN/>
              <w:bidi w:val="0"/>
              <w:adjustRightInd w:val="0"/>
              <w:snapToGrid w:val="0"/>
              <w:spacing w:line="460" w:lineRule="atLeast"/>
              <w:ind w:left="0" w:leftChars="0" w:right="0" w:rightChars="0"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媒介：网上发布（同公告发布媒介）</w:t>
            </w:r>
          </w:p>
        </w:tc>
      </w:tr>
      <w:tr w14:paraId="5F705F7E">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rPr>
          <w:trHeight w:val="0" w:hRule="atLeast"/>
          <w:jc w:val="center"/>
        </w:trPr>
        <w:tc>
          <w:tcPr>
            <w:tcW w:w="907"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640D07A3">
            <w:pPr>
              <w:keepNext w:val="0"/>
              <w:keepLines w:val="0"/>
              <w:pageBreakBefore w:val="0"/>
              <w:widowControl w:val="0"/>
              <w:kinsoku/>
              <w:wordWrap/>
              <w:overflowPunct/>
              <w:topLinePunct w:val="0"/>
              <w:autoSpaceDE/>
              <w:autoSpaceDN/>
              <w:bidi w:val="0"/>
              <w:adjustRightInd w:val="0"/>
              <w:snapToGrid w:val="0"/>
              <w:spacing w:line="460" w:lineRule="atLeast"/>
              <w:ind w:left="0" w:leftChars="0" w:right="0" w:rightChars="0"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21</w:t>
            </w:r>
          </w:p>
        </w:tc>
        <w:tc>
          <w:tcPr>
            <w:tcW w:w="1581"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4E4FD86F">
            <w:pPr>
              <w:keepNext w:val="0"/>
              <w:keepLines w:val="0"/>
              <w:pageBreakBefore w:val="0"/>
              <w:widowControl w:val="0"/>
              <w:kinsoku/>
              <w:wordWrap/>
              <w:overflowPunct/>
              <w:topLinePunct w:val="0"/>
              <w:autoSpaceDE/>
              <w:autoSpaceDN/>
              <w:bidi w:val="0"/>
              <w:adjustRightInd w:val="0"/>
              <w:snapToGrid w:val="0"/>
              <w:spacing w:line="460" w:lineRule="atLeast"/>
              <w:ind w:left="0" w:leftChars="0" w:right="0" w:rightChars="0"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投标人确认收到招标文件澄清时间</w:t>
            </w:r>
          </w:p>
        </w:tc>
        <w:tc>
          <w:tcPr>
            <w:tcW w:w="6033"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15E99BFE">
            <w:pPr>
              <w:keepNext w:val="0"/>
              <w:keepLines w:val="0"/>
              <w:pageBreakBefore w:val="0"/>
              <w:widowControl w:val="0"/>
              <w:kinsoku/>
              <w:wordWrap/>
              <w:overflowPunct/>
              <w:topLinePunct w:val="0"/>
              <w:autoSpaceDE/>
              <w:autoSpaceDN/>
              <w:bidi w:val="0"/>
              <w:adjustRightInd w:val="0"/>
              <w:snapToGrid w:val="0"/>
              <w:spacing w:line="460" w:lineRule="atLeast"/>
              <w:ind w:left="0" w:leftChars="0" w:right="0" w:rightChars="0"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投标人自行网上查询</w:t>
            </w:r>
          </w:p>
        </w:tc>
      </w:tr>
      <w:tr w14:paraId="579C1E0B">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rPr>
          <w:trHeight w:val="0" w:hRule="atLeast"/>
          <w:jc w:val="center"/>
        </w:trPr>
        <w:tc>
          <w:tcPr>
            <w:tcW w:w="907"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0FDD83AF">
            <w:pPr>
              <w:keepNext w:val="0"/>
              <w:keepLines w:val="0"/>
              <w:pageBreakBefore w:val="0"/>
              <w:widowControl w:val="0"/>
              <w:kinsoku/>
              <w:wordWrap/>
              <w:overflowPunct/>
              <w:topLinePunct w:val="0"/>
              <w:autoSpaceDE/>
              <w:autoSpaceDN/>
              <w:bidi w:val="0"/>
              <w:adjustRightInd w:val="0"/>
              <w:snapToGrid w:val="0"/>
              <w:spacing w:line="460" w:lineRule="atLeast"/>
              <w:ind w:left="0" w:leftChars="0" w:right="0" w:rightChars="0"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22</w:t>
            </w:r>
          </w:p>
        </w:tc>
        <w:tc>
          <w:tcPr>
            <w:tcW w:w="1581"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28946BCA">
            <w:pPr>
              <w:keepNext w:val="0"/>
              <w:keepLines w:val="0"/>
              <w:pageBreakBefore w:val="0"/>
              <w:widowControl w:val="0"/>
              <w:kinsoku/>
              <w:wordWrap/>
              <w:overflowPunct/>
              <w:topLinePunct w:val="0"/>
              <w:autoSpaceDE/>
              <w:autoSpaceDN/>
              <w:bidi w:val="0"/>
              <w:adjustRightInd w:val="0"/>
              <w:snapToGrid w:val="0"/>
              <w:spacing w:line="460" w:lineRule="atLeast"/>
              <w:ind w:left="0" w:leftChars="0" w:right="0" w:rightChars="0"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招标人修改招标文件</w:t>
            </w:r>
          </w:p>
        </w:tc>
        <w:tc>
          <w:tcPr>
            <w:tcW w:w="6033"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7C39B2A1">
            <w:pPr>
              <w:keepNext w:val="0"/>
              <w:keepLines w:val="0"/>
              <w:pageBreakBefore w:val="0"/>
              <w:widowControl w:val="0"/>
              <w:kinsoku/>
              <w:wordWrap/>
              <w:overflowPunct/>
              <w:topLinePunct w:val="0"/>
              <w:autoSpaceDE/>
              <w:autoSpaceDN/>
              <w:bidi w:val="0"/>
              <w:adjustRightInd w:val="0"/>
              <w:snapToGrid w:val="0"/>
              <w:spacing w:line="460" w:lineRule="atLeast"/>
              <w:ind w:left="0" w:leftChars="0" w:right="0" w:rightChars="0"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时间：投标截止时间前，距投标时间不足3日的，并且澄清内容影响投标文件编制的，将相应延长投标截止时间。</w:t>
            </w:r>
          </w:p>
          <w:p w14:paraId="3DF786FA">
            <w:pPr>
              <w:keepNext w:val="0"/>
              <w:keepLines w:val="0"/>
              <w:pageBreakBefore w:val="0"/>
              <w:widowControl w:val="0"/>
              <w:kinsoku/>
              <w:wordWrap/>
              <w:overflowPunct/>
              <w:topLinePunct w:val="0"/>
              <w:autoSpaceDE/>
              <w:autoSpaceDN/>
              <w:bidi w:val="0"/>
              <w:adjustRightInd w:val="0"/>
              <w:snapToGrid w:val="0"/>
              <w:spacing w:line="460" w:lineRule="atLeast"/>
              <w:ind w:left="0" w:leftChars="0" w:right="0" w:rightChars="0"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媒介：网上发布（同公告发布媒介）</w:t>
            </w:r>
          </w:p>
        </w:tc>
      </w:tr>
      <w:tr w14:paraId="1300D032">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rPr>
          <w:trHeight w:val="0" w:hRule="atLeast"/>
          <w:jc w:val="center"/>
        </w:trPr>
        <w:tc>
          <w:tcPr>
            <w:tcW w:w="907"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09315DD5">
            <w:pPr>
              <w:keepNext w:val="0"/>
              <w:keepLines w:val="0"/>
              <w:pageBreakBefore w:val="0"/>
              <w:widowControl w:val="0"/>
              <w:kinsoku/>
              <w:wordWrap/>
              <w:overflowPunct/>
              <w:topLinePunct w:val="0"/>
              <w:autoSpaceDE/>
              <w:autoSpaceDN/>
              <w:bidi w:val="0"/>
              <w:adjustRightInd w:val="0"/>
              <w:snapToGrid w:val="0"/>
              <w:spacing w:line="460" w:lineRule="atLeast"/>
              <w:ind w:left="0" w:leftChars="0" w:right="0" w:rightChars="0"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23</w:t>
            </w:r>
          </w:p>
        </w:tc>
        <w:tc>
          <w:tcPr>
            <w:tcW w:w="1581"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65395FAD">
            <w:pPr>
              <w:keepNext w:val="0"/>
              <w:keepLines w:val="0"/>
              <w:pageBreakBefore w:val="0"/>
              <w:widowControl w:val="0"/>
              <w:kinsoku/>
              <w:wordWrap/>
              <w:overflowPunct/>
              <w:topLinePunct w:val="0"/>
              <w:autoSpaceDE/>
              <w:autoSpaceDN/>
              <w:bidi w:val="0"/>
              <w:adjustRightInd w:val="0"/>
              <w:snapToGrid w:val="0"/>
              <w:spacing w:line="460" w:lineRule="atLeast"/>
              <w:ind w:left="0" w:leftChars="0" w:right="0" w:rightChars="0"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投标人确认收到招标文件修改时间</w:t>
            </w:r>
          </w:p>
        </w:tc>
        <w:tc>
          <w:tcPr>
            <w:tcW w:w="6033"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690DA313">
            <w:pPr>
              <w:keepNext w:val="0"/>
              <w:keepLines w:val="0"/>
              <w:pageBreakBefore w:val="0"/>
              <w:widowControl w:val="0"/>
              <w:kinsoku/>
              <w:wordWrap/>
              <w:overflowPunct/>
              <w:topLinePunct w:val="0"/>
              <w:autoSpaceDE/>
              <w:autoSpaceDN/>
              <w:bidi w:val="0"/>
              <w:adjustRightInd w:val="0"/>
              <w:snapToGrid w:val="0"/>
              <w:spacing w:line="460" w:lineRule="atLeast"/>
              <w:ind w:left="0" w:leftChars="0" w:right="0" w:rightChars="0"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投标人自行网上查询</w:t>
            </w:r>
          </w:p>
        </w:tc>
      </w:tr>
      <w:tr w14:paraId="6D7AA765">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rPr>
          <w:trHeight w:val="0" w:hRule="atLeast"/>
          <w:jc w:val="center"/>
        </w:trPr>
        <w:tc>
          <w:tcPr>
            <w:tcW w:w="907"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678AF700">
            <w:pPr>
              <w:keepNext w:val="0"/>
              <w:keepLines w:val="0"/>
              <w:pageBreakBefore w:val="0"/>
              <w:widowControl w:val="0"/>
              <w:kinsoku/>
              <w:wordWrap/>
              <w:overflowPunct/>
              <w:topLinePunct w:val="0"/>
              <w:autoSpaceDE/>
              <w:autoSpaceDN/>
              <w:bidi w:val="0"/>
              <w:adjustRightInd w:val="0"/>
              <w:snapToGrid w:val="0"/>
              <w:spacing w:line="460" w:lineRule="atLeast"/>
              <w:ind w:left="0" w:leftChars="0" w:right="0" w:rightChars="0"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24</w:t>
            </w:r>
          </w:p>
        </w:tc>
        <w:tc>
          <w:tcPr>
            <w:tcW w:w="1581"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1C6F3CED">
            <w:pPr>
              <w:keepNext w:val="0"/>
              <w:keepLines w:val="0"/>
              <w:pageBreakBefore w:val="0"/>
              <w:widowControl w:val="0"/>
              <w:kinsoku/>
              <w:wordWrap/>
              <w:overflowPunct/>
              <w:topLinePunct w:val="0"/>
              <w:autoSpaceDE/>
              <w:autoSpaceDN/>
              <w:bidi w:val="0"/>
              <w:adjustRightInd w:val="0"/>
              <w:snapToGrid w:val="0"/>
              <w:spacing w:line="460" w:lineRule="atLeast"/>
              <w:ind w:left="0" w:leftChars="0" w:right="0" w:rightChars="0"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招标文件的异议提出时间</w:t>
            </w:r>
          </w:p>
        </w:tc>
        <w:tc>
          <w:tcPr>
            <w:tcW w:w="6033"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2946A0AE">
            <w:pPr>
              <w:keepNext w:val="0"/>
              <w:keepLines w:val="0"/>
              <w:pageBreakBefore w:val="0"/>
              <w:widowControl w:val="0"/>
              <w:kinsoku/>
              <w:wordWrap/>
              <w:overflowPunct/>
              <w:topLinePunct w:val="0"/>
              <w:autoSpaceDE/>
              <w:autoSpaceDN/>
              <w:bidi w:val="0"/>
              <w:adjustRightInd w:val="0"/>
              <w:snapToGrid w:val="0"/>
              <w:spacing w:line="460" w:lineRule="atLeast"/>
              <w:ind w:left="0" w:leftChars="0" w:right="0" w:rightChars="0"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符合法律法规的规定</w:t>
            </w:r>
          </w:p>
        </w:tc>
      </w:tr>
      <w:tr w14:paraId="087E1556">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rPr>
          <w:trHeight w:val="0" w:hRule="atLeast"/>
          <w:jc w:val="center"/>
        </w:trPr>
        <w:tc>
          <w:tcPr>
            <w:tcW w:w="907"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0553C4B7">
            <w:pPr>
              <w:keepNext w:val="0"/>
              <w:keepLines w:val="0"/>
              <w:pageBreakBefore w:val="0"/>
              <w:widowControl w:val="0"/>
              <w:kinsoku/>
              <w:wordWrap/>
              <w:overflowPunct/>
              <w:topLinePunct w:val="0"/>
              <w:autoSpaceDE/>
              <w:autoSpaceDN/>
              <w:bidi w:val="0"/>
              <w:adjustRightInd w:val="0"/>
              <w:snapToGrid w:val="0"/>
              <w:spacing w:line="460" w:lineRule="atLeast"/>
              <w:ind w:left="0" w:leftChars="0" w:right="0" w:rightChars="0"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25</w:t>
            </w:r>
          </w:p>
        </w:tc>
        <w:tc>
          <w:tcPr>
            <w:tcW w:w="1581"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60253A70">
            <w:pPr>
              <w:keepNext w:val="0"/>
              <w:keepLines w:val="0"/>
              <w:pageBreakBefore w:val="0"/>
              <w:widowControl w:val="0"/>
              <w:kinsoku/>
              <w:wordWrap/>
              <w:overflowPunct/>
              <w:topLinePunct w:val="0"/>
              <w:autoSpaceDE/>
              <w:autoSpaceDN/>
              <w:bidi w:val="0"/>
              <w:adjustRightInd w:val="0"/>
              <w:snapToGrid w:val="0"/>
              <w:spacing w:line="460" w:lineRule="atLeast"/>
              <w:ind w:left="0" w:leftChars="0" w:right="0" w:rightChars="0"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最高投标限价</w:t>
            </w:r>
          </w:p>
        </w:tc>
        <w:tc>
          <w:tcPr>
            <w:tcW w:w="6033"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522DA356">
            <w:pPr>
              <w:keepNext w:val="0"/>
              <w:keepLines w:val="0"/>
              <w:pageBreakBefore w:val="0"/>
              <w:widowControl w:val="0"/>
              <w:kinsoku/>
              <w:wordWrap/>
              <w:overflowPunct/>
              <w:topLinePunct w:val="0"/>
              <w:autoSpaceDE/>
              <w:autoSpaceDN/>
              <w:bidi w:val="0"/>
              <w:adjustRightInd w:val="0"/>
              <w:snapToGrid w:val="0"/>
              <w:spacing w:line="460" w:lineRule="atLeas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1、本项目最高投标限价为</w:t>
            </w:r>
            <w:r>
              <w:rPr>
                <w:rFonts w:hint="eastAsia" w:ascii="宋体" w:hAnsi="宋体" w:eastAsia="宋体" w:cs="宋体"/>
                <w:b/>
                <w:bCs/>
                <w:color w:val="auto"/>
                <w:sz w:val="21"/>
                <w:szCs w:val="21"/>
                <w:highlight w:val="none"/>
              </w:rPr>
              <w:t>人民币</w:t>
            </w:r>
            <w:r>
              <w:rPr>
                <w:rFonts w:hint="eastAsia" w:ascii="宋体" w:hAnsi="宋体" w:eastAsia="宋体" w:cs="宋体"/>
                <w:b/>
                <w:bCs/>
                <w:color w:val="auto"/>
                <w:sz w:val="21"/>
                <w:szCs w:val="21"/>
                <w:highlight w:val="none"/>
                <w:u w:val="single"/>
              </w:rPr>
              <w:t xml:space="preserve"> </w:t>
            </w:r>
            <w:r>
              <w:rPr>
                <w:rFonts w:hint="eastAsia" w:ascii="宋体" w:hAnsi="宋体" w:eastAsia="宋体" w:cs="宋体"/>
                <w:b/>
                <w:bCs/>
                <w:color w:val="auto"/>
                <w:sz w:val="21"/>
                <w:szCs w:val="21"/>
                <w:highlight w:val="none"/>
                <w:u w:val="single"/>
                <w:lang w:val="en-US" w:eastAsia="zh-CN"/>
              </w:rPr>
              <w:t>291700</w:t>
            </w:r>
            <w:r>
              <w:rPr>
                <w:rFonts w:hint="eastAsia" w:ascii="宋体" w:hAnsi="宋体" w:eastAsia="宋体" w:cs="宋体"/>
                <w:b/>
                <w:bCs/>
                <w:color w:val="auto"/>
                <w:sz w:val="21"/>
                <w:szCs w:val="21"/>
                <w:highlight w:val="none"/>
                <w:u w:val="single"/>
              </w:rPr>
              <w:t>元</w:t>
            </w:r>
            <w:r>
              <w:rPr>
                <w:rFonts w:hint="eastAsia" w:ascii="宋体" w:hAnsi="宋体" w:eastAsia="宋体" w:cs="宋体"/>
                <w:color w:val="auto"/>
                <w:sz w:val="21"/>
                <w:szCs w:val="21"/>
                <w:highlight w:val="none"/>
              </w:rPr>
              <w:t>，投标人应在最高投标限价以下进行投标报价，高于最高投标限价的投标报价，视为无效报价。</w:t>
            </w:r>
          </w:p>
          <w:p w14:paraId="0C2DB7BC">
            <w:pPr>
              <w:keepNext w:val="0"/>
              <w:keepLines w:val="0"/>
              <w:pageBreakBefore w:val="0"/>
              <w:widowControl w:val="0"/>
              <w:numPr>
                <w:ilvl w:val="0"/>
                <w:numId w:val="0"/>
              </w:numPr>
              <w:kinsoku/>
              <w:wordWrap/>
              <w:overflowPunct/>
              <w:topLinePunct w:val="0"/>
              <w:autoSpaceDE/>
              <w:autoSpaceDN/>
              <w:bidi w:val="0"/>
              <w:adjustRightInd w:val="0"/>
              <w:snapToGrid w:val="0"/>
              <w:spacing w:line="460" w:lineRule="atLeast"/>
              <w:ind w:leftChars="0" w:right="0" w:right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2、若投标报价低于招标人公布的最高投标限价的投标人不足三家时，招标人将宣布本次招标失败，并依法重新组织招标。</w:t>
            </w:r>
          </w:p>
        </w:tc>
      </w:tr>
      <w:tr w14:paraId="17BE1D31">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rPr>
          <w:trHeight w:val="0" w:hRule="atLeast"/>
          <w:jc w:val="center"/>
        </w:trPr>
        <w:tc>
          <w:tcPr>
            <w:tcW w:w="907"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579DD79B">
            <w:pPr>
              <w:keepNext w:val="0"/>
              <w:keepLines w:val="0"/>
              <w:pageBreakBefore w:val="0"/>
              <w:widowControl w:val="0"/>
              <w:kinsoku/>
              <w:wordWrap/>
              <w:overflowPunct/>
              <w:topLinePunct w:val="0"/>
              <w:autoSpaceDE/>
              <w:autoSpaceDN/>
              <w:bidi w:val="0"/>
              <w:adjustRightInd w:val="0"/>
              <w:snapToGrid w:val="0"/>
              <w:spacing w:line="460" w:lineRule="atLeast"/>
              <w:ind w:left="0" w:leftChars="0" w:right="0" w:rightChars="0"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26</w:t>
            </w:r>
          </w:p>
        </w:tc>
        <w:tc>
          <w:tcPr>
            <w:tcW w:w="1581"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52982ACF">
            <w:pPr>
              <w:keepNext w:val="0"/>
              <w:keepLines w:val="0"/>
              <w:pageBreakBefore w:val="0"/>
              <w:widowControl w:val="0"/>
              <w:kinsoku/>
              <w:wordWrap/>
              <w:overflowPunct/>
              <w:topLinePunct w:val="0"/>
              <w:autoSpaceDE/>
              <w:autoSpaceDN/>
              <w:bidi w:val="0"/>
              <w:adjustRightInd w:val="0"/>
              <w:snapToGrid w:val="0"/>
              <w:spacing w:line="460" w:lineRule="atLeast"/>
              <w:ind w:left="0" w:leftChars="0" w:right="0" w:rightChars="0"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投标有效期</w:t>
            </w:r>
          </w:p>
        </w:tc>
        <w:tc>
          <w:tcPr>
            <w:tcW w:w="6033"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0D9A7EC5">
            <w:pPr>
              <w:keepNext w:val="0"/>
              <w:keepLines w:val="0"/>
              <w:pageBreakBefore w:val="0"/>
              <w:widowControl w:val="0"/>
              <w:kinsoku/>
              <w:wordWrap/>
              <w:overflowPunct/>
              <w:topLinePunct w:val="0"/>
              <w:autoSpaceDE/>
              <w:autoSpaceDN/>
              <w:bidi w:val="0"/>
              <w:adjustRightInd w:val="0"/>
              <w:snapToGrid w:val="0"/>
              <w:spacing w:line="460" w:lineRule="atLeast"/>
              <w:ind w:left="0" w:leftChars="0" w:right="0" w:rightChars="0"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90日（从投标截止之日算起）</w:t>
            </w:r>
          </w:p>
        </w:tc>
      </w:tr>
      <w:tr w14:paraId="775553ED">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rPr>
          <w:trHeight w:val="0" w:hRule="atLeast"/>
          <w:jc w:val="center"/>
        </w:trPr>
        <w:tc>
          <w:tcPr>
            <w:tcW w:w="907"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4E763120">
            <w:pPr>
              <w:keepNext w:val="0"/>
              <w:keepLines w:val="0"/>
              <w:pageBreakBefore w:val="0"/>
              <w:widowControl w:val="0"/>
              <w:kinsoku/>
              <w:wordWrap/>
              <w:overflowPunct/>
              <w:topLinePunct w:val="0"/>
              <w:autoSpaceDE/>
              <w:autoSpaceDN/>
              <w:bidi w:val="0"/>
              <w:adjustRightInd w:val="0"/>
              <w:snapToGrid w:val="0"/>
              <w:spacing w:line="460" w:lineRule="atLeast"/>
              <w:ind w:left="0" w:leftChars="0" w:right="0" w:rightChars="0"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27</w:t>
            </w:r>
          </w:p>
        </w:tc>
        <w:tc>
          <w:tcPr>
            <w:tcW w:w="1581"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7FDE9AE0">
            <w:pPr>
              <w:keepNext w:val="0"/>
              <w:keepLines w:val="0"/>
              <w:pageBreakBefore w:val="0"/>
              <w:widowControl w:val="0"/>
              <w:kinsoku/>
              <w:wordWrap/>
              <w:overflowPunct/>
              <w:topLinePunct w:val="0"/>
              <w:autoSpaceDE/>
              <w:autoSpaceDN/>
              <w:bidi w:val="0"/>
              <w:adjustRightInd w:val="0"/>
              <w:snapToGrid w:val="0"/>
              <w:spacing w:line="460" w:lineRule="atLeast"/>
              <w:ind w:left="0" w:leftChars="0" w:right="0" w:rightChars="0"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是否允许递交备选投标方案</w:t>
            </w:r>
          </w:p>
        </w:tc>
        <w:tc>
          <w:tcPr>
            <w:tcW w:w="6033"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5F4EBCA0">
            <w:pPr>
              <w:keepNext w:val="0"/>
              <w:keepLines w:val="0"/>
              <w:pageBreakBefore w:val="0"/>
              <w:widowControl w:val="0"/>
              <w:kinsoku/>
              <w:wordWrap/>
              <w:overflowPunct/>
              <w:topLinePunct w:val="0"/>
              <w:autoSpaceDE/>
              <w:autoSpaceDN/>
              <w:bidi w:val="0"/>
              <w:adjustRightInd w:val="0"/>
              <w:snapToGrid w:val="0"/>
              <w:spacing w:line="460" w:lineRule="atLeast"/>
              <w:ind w:left="0" w:leftChars="0" w:right="0" w:rightChars="0"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不允许</w:t>
            </w:r>
          </w:p>
        </w:tc>
      </w:tr>
      <w:tr w14:paraId="4237859D">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rPr>
          <w:trHeight w:val="0" w:hRule="atLeast"/>
          <w:jc w:val="center"/>
        </w:trPr>
        <w:tc>
          <w:tcPr>
            <w:tcW w:w="907"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5DDC7311">
            <w:pPr>
              <w:keepNext w:val="0"/>
              <w:keepLines w:val="0"/>
              <w:pageBreakBefore w:val="0"/>
              <w:widowControl w:val="0"/>
              <w:kinsoku/>
              <w:wordWrap/>
              <w:overflowPunct/>
              <w:topLinePunct w:val="0"/>
              <w:autoSpaceDE/>
              <w:autoSpaceDN/>
              <w:bidi w:val="0"/>
              <w:adjustRightInd w:val="0"/>
              <w:snapToGrid w:val="0"/>
              <w:spacing w:line="460" w:lineRule="atLeast"/>
              <w:ind w:left="0" w:leftChars="0" w:right="0" w:rightChars="0"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28</w:t>
            </w:r>
          </w:p>
        </w:tc>
        <w:tc>
          <w:tcPr>
            <w:tcW w:w="1581"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3E677EFE">
            <w:pPr>
              <w:keepNext w:val="0"/>
              <w:keepLines w:val="0"/>
              <w:pageBreakBefore w:val="0"/>
              <w:widowControl w:val="0"/>
              <w:kinsoku/>
              <w:wordWrap/>
              <w:overflowPunct/>
              <w:topLinePunct w:val="0"/>
              <w:autoSpaceDE/>
              <w:autoSpaceDN/>
              <w:bidi w:val="0"/>
              <w:adjustRightInd w:val="0"/>
              <w:snapToGrid w:val="0"/>
              <w:spacing w:line="460" w:lineRule="atLeast"/>
              <w:ind w:left="0" w:leftChars="0" w:right="0" w:rightChars="0"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投标文件递交截止时间（投标截止时间）及地点</w:t>
            </w:r>
          </w:p>
        </w:tc>
        <w:tc>
          <w:tcPr>
            <w:tcW w:w="6033"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4D6BA1BE">
            <w:pPr>
              <w:keepNext w:val="0"/>
              <w:keepLines w:val="0"/>
              <w:pageBreakBefore w:val="0"/>
              <w:widowControl w:val="0"/>
              <w:kinsoku/>
              <w:wordWrap/>
              <w:overflowPunct/>
              <w:topLinePunct w:val="0"/>
              <w:autoSpaceDE/>
              <w:autoSpaceDN/>
              <w:bidi w:val="0"/>
              <w:adjustRightInd w:val="0"/>
              <w:snapToGrid w:val="0"/>
              <w:spacing w:line="460" w:lineRule="atLeast"/>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投标截止时间：</w:t>
            </w:r>
            <w:r>
              <w:rPr>
                <w:rFonts w:hint="eastAsia" w:ascii="宋体" w:hAnsi="宋体" w:eastAsia="宋体" w:cs="宋体"/>
                <w:b/>
                <w:bCs/>
                <w:color w:val="auto"/>
                <w:sz w:val="21"/>
                <w:szCs w:val="21"/>
                <w:highlight w:val="none"/>
                <w:u w:val="single"/>
                <w:shd w:val="clear" w:color="auto" w:fill="FFFFFF"/>
                <w:lang w:bidi="ar"/>
              </w:rPr>
              <w:t>202</w:t>
            </w:r>
            <w:r>
              <w:rPr>
                <w:rFonts w:hint="eastAsia" w:ascii="宋体" w:hAnsi="宋体" w:eastAsia="宋体" w:cs="宋体"/>
                <w:b/>
                <w:bCs/>
                <w:color w:val="auto"/>
                <w:sz w:val="21"/>
                <w:szCs w:val="21"/>
                <w:highlight w:val="none"/>
                <w:u w:val="single"/>
                <w:shd w:val="clear" w:color="auto" w:fill="FFFFFF"/>
                <w:lang w:val="en-US" w:eastAsia="zh-CN" w:bidi="ar"/>
              </w:rPr>
              <w:t>6</w:t>
            </w:r>
            <w:r>
              <w:rPr>
                <w:rFonts w:hint="eastAsia" w:ascii="宋体" w:hAnsi="宋体" w:eastAsia="宋体" w:cs="宋体"/>
                <w:b/>
                <w:bCs/>
                <w:color w:val="auto"/>
                <w:sz w:val="21"/>
                <w:szCs w:val="21"/>
                <w:highlight w:val="none"/>
                <w:shd w:val="clear" w:color="auto" w:fill="FFFFFF"/>
                <w:lang w:bidi="ar"/>
              </w:rPr>
              <w:t>年</w:t>
            </w:r>
            <w:r>
              <w:rPr>
                <w:rFonts w:hint="eastAsia" w:ascii="宋体" w:hAnsi="宋体" w:eastAsia="宋体" w:cs="宋体"/>
                <w:b/>
                <w:bCs/>
                <w:color w:val="auto"/>
                <w:sz w:val="21"/>
                <w:szCs w:val="21"/>
                <w:highlight w:val="none"/>
                <w:u w:val="single"/>
                <w:shd w:val="clear" w:color="auto" w:fill="FFFFFF"/>
                <w:lang w:val="en-US" w:eastAsia="zh-CN" w:bidi="ar"/>
              </w:rPr>
              <w:t xml:space="preserve"> 3 </w:t>
            </w:r>
            <w:r>
              <w:rPr>
                <w:rFonts w:hint="eastAsia" w:ascii="宋体" w:hAnsi="宋体" w:eastAsia="宋体" w:cs="宋体"/>
                <w:b/>
                <w:bCs/>
                <w:color w:val="auto"/>
                <w:sz w:val="21"/>
                <w:szCs w:val="21"/>
                <w:highlight w:val="none"/>
                <w:shd w:val="clear" w:color="auto" w:fill="FFFFFF"/>
                <w:lang w:bidi="ar"/>
              </w:rPr>
              <w:t>月</w:t>
            </w:r>
            <w:r>
              <w:rPr>
                <w:rFonts w:hint="eastAsia" w:ascii="宋体" w:hAnsi="宋体" w:eastAsia="宋体" w:cs="宋体"/>
                <w:b/>
                <w:bCs/>
                <w:color w:val="auto"/>
                <w:sz w:val="21"/>
                <w:szCs w:val="21"/>
                <w:highlight w:val="none"/>
                <w:u w:val="single"/>
                <w:shd w:val="clear" w:color="auto" w:fill="FFFFFF"/>
                <w:lang w:bidi="ar"/>
              </w:rPr>
              <w:t xml:space="preserve"> </w:t>
            </w:r>
            <w:r>
              <w:rPr>
                <w:rFonts w:hint="eastAsia" w:ascii="宋体" w:hAnsi="宋体" w:eastAsia="宋体" w:cs="宋体"/>
                <w:b/>
                <w:bCs/>
                <w:color w:val="auto"/>
                <w:sz w:val="21"/>
                <w:szCs w:val="21"/>
                <w:highlight w:val="none"/>
                <w:u w:val="single"/>
                <w:shd w:val="clear" w:color="auto" w:fill="FFFFFF"/>
                <w:lang w:val="en-US" w:eastAsia="zh-CN" w:bidi="ar"/>
              </w:rPr>
              <w:t xml:space="preserve">3 </w:t>
            </w:r>
            <w:r>
              <w:rPr>
                <w:rFonts w:hint="eastAsia" w:ascii="宋体" w:hAnsi="宋体" w:eastAsia="宋体" w:cs="宋体"/>
                <w:b/>
                <w:bCs/>
                <w:color w:val="auto"/>
                <w:sz w:val="21"/>
                <w:szCs w:val="21"/>
                <w:highlight w:val="none"/>
                <w:shd w:val="clear" w:color="auto" w:fill="FFFFFF"/>
                <w:lang w:bidi="ar"/>
              </w:rPr>
              <w:t>日</w:t>
            </w:r>
            <w:r>
              <w:rPr>
                <w:rFonts w:hint="eastAsia" w:ascii="宋体" w:hAnsi="宋体" w:eastAsia="宋体" w:cs="宋体"/>
                <w:b/>
                <w:bCs/>
                <w:color w:val="auto"/>
                <w:sz w:val="21"/>
                <w:szCs w:val="21"/>
                <w:highlight w:val="none"/>
                <w:u w:val="single"/>
                <w:shd w:val="clear" w:color="auto" w:fill="FFFFFF"/>
                <w:lang w:bidi="ar"/>
              </w:rPr>
              <w:t xml:space="preserve"> </w:t>
            </w:r>
            <w:r>
              <w:rPr>
                <w:rFonts w:hint="eastAsia" w:ascii="宋体" w:hAnsi="宋体" w:eastAsia="宋体" w:cs="宋体"/>
                <w:b/>
                <w:bCs/>
                <w:color w:val="auto"/>
                <w:sz w:val="21"/>
                <w:szCs w:val="21"/>
                <w:highlight w:val="none"/>
                <w:u w:val="single"/>
                <w:shd w:val="clear" w:color="auto" w:fill="FFFFFF"/>
                <w:lang w:val="en-US" w:eastAsia="zh-CN" w:bidi="ar"/>
              </w:rPr>
              <w:t>9</w:t>
            </w:r>
            <w:r>
              <w:rPr>
                <w:rFonts w:hint="eastAsia" w:ascii="宋体" w:hAnsi="宋体" w:eastAsia="宋体" w:cs="宋体"/>
                <w:b/>
                <w:bCs/>
                <w:color w:val="auto"/>
                <w:sz w:val="21"/>
                <w:szCs w:val="21"/>
                <w:highlight w:val="none"/>
                <w:shd w:val="clear" w:color="auto" w:fill="FFFFFF"/>
                <w:lang w:bidi="ar"/>
              </w:rPr>
              <w:t>时</w:t>
            </w:r>
            <w:r>
              <w:rPr>
                <w:rFonts w:hint="eastAsia" w:ascii="宋体" w:hAnsi="宋体" w:eastAsia="宋体" w:cs="宋体"/>
                <w:b/>
                <w:bCs/>
                <w:color w:val="auto"/>
                <w:sz w:val="21"/>
                <w:szCs w:val="21"/>
                <w:highlight w:val="none"/>
                <w:u w:val="single"/>
                <w:shd w:val="clear" w:color="auto" w:fill="FFFFFF"/>
                <w:lang w:bidi="ar"/>
              </w:rPr>
              <w:t xml:space="preserve"> 00 </w:t>
            </w:r>
            <w:r>
              <w:rPr>
                <w:rFonts w:hint="eastAsia" w:ascii="宋体" w:hAnsi="宋体" w:eastAsia="宋体" w:cs="宋体"/>
                <w:b/>
                <w:bCs/>
                <w:color w:val="auto"/>
                <w:sz w:val="21"/>
                <w:szCs w:val="21"/>
                <w:highlight w:val="none"/>
                <w:shd w:val="clear" w:color="auto" w:fill="FFFFFF"/>
                <w:lang w:bidi="ar"/>
              </w:rPr>
              <w:t>分</w:t>
            </w:r>
          </w:p>
          <w:p w14:paraId="62640E1F">
            <w:pPr>
              <w:keepNext w:val="0"/>
              <w:keepLines w:val="0"/>
              <w:pageBreakBefore w:val="0"/>
              <w:widowControl w:val="0"/>
              <w:kinsoku/>
              <w:wordWrap/>
              <w:overflowPunct/>
              <w:topLinePunct w:val="0"/>
              <w:autoSpaceDE/>
              <w:autoSpaceDN/>
              <w:bidi w:val="0"/>
              <w:adjustRightInd w:val="0"/>
              <w:snapToGrid w:val="0"/>
              <w:spacing w:line="460" w:lineRule="atLeast"/>
              <w:ind w:left="0" w:leftChars="0" w:right="0" w:rightChars="0"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投标文件递交地点：</w:t>
            </w:r>
            <w:r>
              <w:rPr>
                <w:rFonts w:hint="eastAsia" w:ascii="宋体" w:hAnsi="宋体" w:eastAsia="宋体" w:cs="宋体"/>
                <w:b/>
                <w:bCs/>
                <w:snapToGrid w:val="0"/>
                <w:color w:val="auto"/>
                <w:sz w:val="21"/>
                <w:szCs w:val="21"/>
                <w:highlight w:val="none"/>
                <w:u w:val="single"/>
              </w:rPr>
              <w:t>盐城市希望大道南路5号国际软件园6号楼B座六楼开标室</w:t>
            </w:r>
            <w:r>
              <w:rPr>
                <w:rFonts w:hint="eastAsia" w:ascii="宋体" w:hAnsi="宋体" w:eastAsia="宋体" w:cs="宋体"/>
                <w:color w:val="auto"/>
                <w:sz w:val="21"/>
                <w:szCs w:val="21"/>
                <w:highlight w:val="none"/>
              </w:rPr>
              <w:t>。</w:t>
            </w:r>
          </w:p>
        </w:tc>
      </w:tr>
      <w:tr w14:paraId="29F201E9">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rPr>
          <w:trHeight w:val="0" w:hRule="atLeast"/>
          <w:jc w:val="center"/>
        </w:trPr>
        <w:tc>
          <w:tcPr>
            <w:tcW w:w="907"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115D2D79">
            <w:pPr>
              <w:keepNext w:val="0"/>
              <w:keepLines w:val="0"/>
              <w:pageBreakBefore w:val="0"/>
              <w:widowControl w:val="0"/>
              <w:kinsoku/>
              <w:wordWrap/>
              <w:overflowPunct/>
              <w:topLinePunct w:val="0"/>
              <w:autoSpaceDE/>
              <w:autoSpaceDN/>
              <w:bidi w:val="0"/>
              <w:adjustRightInd w:val="0"/>
              <w:snapToGrid w:val="0"/>
              <w:spacing w:line="460" w:lineRule="atLeast"/>
              <w:ind w:left="0" w:leftChars="0" w:right="0" w:rightChars="0"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29</w:t>
            </w:r>
          </w:p>
        </w:tc>
        <w:tc>
          <w:tcPr>
            <w:tcW w:w="1581"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68E68685">
            <w:pPr>
              <w:keepNext w:val="0"/>
              <w:keepLines w:val="0"/>
              <w:pageBreakBefore w:val="0"/>
              <w:widowControl w:val="0"/>
              <w:kinsoku/>
              <w:wordWrap/>
              <w:overflowPunct/>
              <w:topLinePunct w:val="0"/>
              <w:autoSpaceDE/>
              <w:autoSpaceDN/>
              <w:bidi w:val="0"/>
              <w:adjustRightInd w:val="0"/>
              <w:snapToGrid w:val="0"/>
              <w:spacing w:line="460" w:lineRule="atLeast"/>
              <w:ind w:left="0" w:leftChars="0" w:right="0" w:rightChars="0"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是否退还投标文件</w:t>
            </w:r>
          </w:p>
        </w:tc>
        <w:tc>
          <w:tcPr>
            <w:tcW w:w="6033"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36E57C72">
            <w:pPr>
              <w:keepNext w:val="0"/>
              <w:keepLines w:val="0"/>
              <w:pageBreakBefore w:val="0"/>
              <w:widowControl w:val="0"/>
              <w:kinsoku/>
              <w:wordWrap/>
              <w:overflowPunct/>
              <w:topLinePunct w:val="0"/>
              <w:autoSpaceDE/>
              <w:autoSpaceDN/>
              <w:bidi w:val="0"/>
              <w:adjustRightInd w:val="0"/>
              <w:snapToGrid w:val="0"/>
              <w:spacing w:line="460" w:lineRule="atLeast"/>
              <w:ind w:left="0" w:leftChars="0" w:right="0" w:rightChars="0"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否</w:t>
            </w:r>
          </w:p>
        </w:tc>
      </w:tr>
      <w:tr w14:paraId="59E72D67">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rPr>
          <w:trHeight w:val="0" w:hRule="atLeast"/>
          <w:jc w:val="center"/>
        </w:trPr>
        <w:tc>
          <w:tcPr>
            <w:tcW w:w="907"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2305FAD1">
            <w:pPr>
              <w:keepNext w:val="0"/>
              <w:keepLines w:val="0"/>
              <w:pageBreakBefore w:val="0"/>
              <w:widowControl w:val="0"/>
              <w:kinsoku/>
              <w:wordWrap/>
              <w:overflowPunct/>
              <w:topLinePunct w:val="0"/>
              <w:autoSpaceDE/>
              <w:autoSpaceDN/>
              <w:bidi w:val="0"/>
              <w:adjustRightInd w:val="0"/>
              <w:snapToGrid w:val="0"/>
              <w:spacing w:line="460" w:lineRule="atLeast"/>
              <w:ind w:left="0" w:leftChars="0" w:right="0" w:rightChars="0"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30</w:t>
            </w:r>
          </w:p>
        </w:tc>
        <w:tc>
          <w:tcPr>
            <w:tcW w:w="1581"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7696AB4E">
            <w:pPr>
              <w:keepNext w:val="0"/>
              <w:keepLines w:val="0"/>
              <w:pageBreakBefore w:val="0"/>
              <w:widowControl w:val="0"/>
              <w:kinsoku/>
              <w:wordWrap/>
              <w:overflowPunct/>
              <w:topLinePunct w:val="0"/>
              <w:autoSpaceDE/>
              <w:autoSpaceDN/>
              <w:bidi w:val="0"/>
              <w:adjustRightInd w:val="0"/>
              <w:snapToGrid w:val="0"/>
              <w:spacing w:line="460" w:lineRule="atLeast"/>
              <w:ind w:left="0" w:leftChars="0" w:right="0" w:rightChars="0"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开标时间和地点</w:t>
            </w:r>
          </w:p>
        </w:tc>
        <w:tc>
          <w:tcPr>
            <w:tcW w:w="6033"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157CE6DE">
            <w:pPr>
              <w:keepNext w:val="0"/>
              <w:keepLines w:val="0"/>
              <w:pageBreakBefore w:val="0"/>
              <w:widowControl w:val="0"/>
              <w:kinsoku/>
              <w:wordWrap/>
              <w:overflowPunct/>
              <w:topLinePunct w:val="0"/>
              <w:autoSpaceDE/>
              <w:autoSpaceDN/>
              <w:bidi w:val="0"/>
              <w:adjustRightInd w:val="0"/>
              <w:snapToGrid w:val="0"/>
              <w:spacing w:line="460" w:lineRule="atLeast"/>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1、开标时间：同投标截止时间 ；</w:t>
            </w:r>
          </w:p>
          <w:p w14:paraId="23DC7FA0">
            <w:pPr>
              <w:keepNext w:val="0"/>
              <w:keepLines w:val="0"/>
              <w:pageBreakBefore w:val="0"/>
              <w:widowControl w:val="0"/>
              <w:numPr>
                <w:ilvl w:val="0"/>
                <w:numId w:val="0"/>
              </w:numPr>
              <w:kinsoku/>
              <w:wordWrap/>
              <w:overflowPunct/>
              <w:topLinePunct w:val="0"/>
              <w:autoSpaceDE/>
              <w:autoSpaceDN/>
              <w:bidi w:val="0"/>
              <w:adjustRightInd w:val="0"/>
              <w:snapToGrid w:val="0"/>
              <w:spacing w:line="460" w:lineRule="atLeast"/>
              <w:ind w:leftChars="0" w:right="0" w:rightChars="0"/>
              <w:jc w:val="left"/>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 xml:space="preserve">2、开标地点：同递交投标文件地点。 </w:t>
            </w:r>
          </w:p>
        </w:tc>
      </w:tr>
      <w:tr w14:paraId="10BBF11B">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rPr>
          <w:trHeight w:val="0" w:hRule="atLeast"/>
          <w:jc w:val="center"/>
        </w:trPr>
        <w:tc>
          <w:tcPr>
            <w:tcW w:w="907"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5850B9EA">
            <w:pPr>
              <w:keepNext w:val="0"/>
              <w:keepLines w:val="0"/>
              <w:pageBreakBefore w:val="0"/>
              <w:widowControl w:val="0"/>
              <w:kinsoku/>
              <w:wordWrap/>
              <w:overflowPunct/>
              <w:topLinePunct w:val="0"/>
              <w:autoSpaceDE/>
              <w:autoSpaceDN/>
              <w:bidi w:val="0"/>
              <w:adjustRightInd w:val="0"/>
              <w:snapToGrid w:val="0"/>
              <w:spacing w:line="460" w:lineRule="atLeast"/>
              <w:ind w:left="0" w:leftChars="0" w:right="0" w:rightChars="0"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31</w:t>
            </w:r>
          </w:p>
        </w:tc>
        <w:tc>
          <w:tcPr>
            <w:tcW w:w="1581"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4E1408C2">
            <w:pPr>
              <w:keepNext w:val="0"/>
              <w:keepLines w:val="0"/>
              <w:pageBreakBefore w:val="0"/>
              <w:widowControl w:val="0"/>
              <w:kinsoku/>
              <w:wordWrap/>
              <w:overflowPunct/>
              <w:topLinePunct w:val="0"/>
              <w:autoSpaceDE/>
              <w:autoSpaceDN/>
              <w:bidi w:val="0"/>
              <w:adjustRightInd w:val="0"/>
              <w:snapToGrid w:val="0"/>
              <w:spacing w:line="460" w:lineRule="atLeast"/>
              <w:ind w:left="0" w:leftChars="0" w:right="0" w:rightChars="0"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投标人出席开标会的人员要求</w:t>
            </w:r>
          </w:p>
        </w:tc>
        <w:tc>
          <w:tcPr>
            <w:tcW w:w="6033"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20861E27">
            <w:pPr>
              <w:keepNext w:val="0"/>
              <w:keepLines w:val="0"/>
              <w:pageBreakBefore w:val="0"/>
              <w:widowControl w:val="0"/>
              <w:kinsoku/>
              <w:wordWrap/>
              <w:overflowPunct/>
              <w:topLinePunct w:val="0"/>
              <w:autoSpaceDE/>
              <w:autoSpaceDN/>
              <w:bidi w:val="0"/>
              <w:adjustRightInd w:val="0"/>
              <w:snapToGrid w:val="0"/>
              <w:spacing w:line="460" w:lineRule="atLeast"/>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sz w:val="21"/>
                <w:szCs w:val="21"/>
                <w:highlight w:val="none"/>
              </w:rPr>
              <w:t>本项目要求投标人出席开标会的人员：</w:t>
            </w: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55"/>
              <w:gridCol w:w="3228"/>
            </w:tblGrid>
            <w:tr w14:paraId="014DEA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trPr>
              <w:tc>
                <w:tcPr>
                  <w:tcW w:w="2657" w:type="dxa"/>
                  <w:tcBorders>
                    <w:top w:val="single" w:color="auto" w:sz="4" w:space="0"/>
                    <w:left w:val="single" w:color="auto" w:sz="4" w:space="0"/>
                    <w:bottom w:val="single" w:color="auto" w:sz="4" w:space="0"/>
                    <w:right w:val="single" w:color="auto" w:sz="4" w:space="0"/>
                  </w:tcBorders>
                  <w:noWrap w:val="0"/>
                  <w:vAlign w:val="center"/>
                </w:tcPr>
                <w:p w14:paraId="01D2E5DC">
                  <w:pPr>
                    <w:keepNext w:val="0"/>
                    <w:keepLines w:val="0"/>
                    <w:pageBreakBefore w:val="0"/>
                    <w:widowControl w:val="0"/>
                    <w:kinsoku/>
                    <w:wordWrap/>
                    <w:overflowPunct/>
                    <w:topLinePunct w:val="0"/>
                    <w:autoSpaceDE/>
                    <w:autoSpaceDN/>
                    <w:bidi w:val="0"/>
                    <w:adjustRightInd w:val="0"/>
                    <w:snapToGrid w:val="0"/>
                    <w:spacing w:line="460" w:lineRule="atLeast"/>
                    <w:jc w:val="center"/>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sz w:val="21"/>
                      <w:szCs w:val="21"/>
                      <w:highlight w:val="none"/>
                    </w:rPr>
                    <w:t>要求参加人员种类</w:t>
                  </w:r>
                </w:p>
              </w:tc>
              <w:tc>
                <w:tcPr>
                  <w:tcW w:w="3362" w:type="dxa"/>
                  <w:tcBorders>
                    <w:top w:val="single" w:color="auto" w:sz="4" w:space="0"/>
                    <w:left w:val="single" w:color="auto" w:sz="4" w:space="0"/>
                    <w:bottom w:val="single" w:color="auto" w:sz="4" w:space="0"/>
                    <w:right w:val="single" w:color="auto" w:sz="4" w:space="0"/>
                  </w:tcBorders>
                  <w:noWrap w:val="0"/>
                  <w:vAlign w:val="center"/>
                </w:tcPr>
                <w:p w14:paraId="7BF2837A">
                  <w:pPr>
                    <w:keepNext w:val="0"/>
                    <w:keepLines w:val="0"/>
                    <w:pageBreakBefore w:val="0"/>
                    <w:widowControl w:val="0"/>
                    <w:kinsoku/>
                    <w:wordWrap/>
                    <w:overflowPunct/>
                    <w:topLinePunct w:val="0"/>
                    <w:autoSpaceDE/>
                    <w:autoSpaceDN/>
                    <w:bidi w:val="0"/>
                    <w:adjustRightInd w:val="0"/>
                    <w:snapToGrid w:val="0"/>
                    <w:spacing w:line="460" w:lineRule="atLeast"/>
                    <w:jc w:val="both"/>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sz w:val="21"/>
                      <w:szCs w:val="21"/>
                      <w:highlight w:val="none"/>
                    </w:rPr>
                    <w:t>法定代表人或委托代理人</w:t>
                  </w:r>
                </w:p>
              </w:tc>
            </w:tr>
          </w:tbl>
          <w:p w14:paraId="4611652C">
            <w:pPr>
              <w:keepNext w:val="0"/>
              <w:keepLines w:val="0"/>
              <w:pageBreakBefore w:val="0"/>
              <w:widowControl w:val="0"/>
              <w:kinsoku/>
              <w:wordWrap/>
              <w:overflowPunct/>
              <w:topLinePunct w:val="0"/>
              <w:autoSpaceDE/>
              <w:autoSpaceDN/>
              <w:bidi w:val="0"/>
              <w:adjustRightInd w:val="0"/>
              <w:snapToGrid w:val="0"/>
              <w:spacing w:line="460" w:lineRule="atLeast"/>
              <w:ind w:left="0" w:leftChars="0" w:right="0" w:rightChars="0"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招标人要求所有投标人出席开标会的人员，应当按时参加开标会；以上招标人要求出席开标会议的人员，应在招标人按开标程序进行点名时，出示本人二代身份证原件（</w:t>
            </w:r>
            <w:r>
              <w:rPr>
                <w:rFonts w:hint="eastAsia" w:ascii="宋体" w:hAnsi="宋体" w:eastAsia="宋体" w:cs="宋体"/>
                <w:b/>
                <w:color w:val="auto"/>
                <w:sz w:val="21"/>
                <w:szCs w:val="21"/>
                <w:highlight w:val="none"/>
              </w:rPr>
              <w:t>不含临时身份证），</w:t>
            </w:r>
            <w:r>
              <w:rPr>
                <w:rFonts w:hint="eastAsia" w:ascii="宋体" w:hAnsi="宋体" w:eastAsia="宋体" w:cs="宋体"/>
                <w:b/>
                <w:color w:val="auto"/>
                <w:sz w:val="21"/>
                <w:szCs w:val="21"/>
                <w:highlight w:val="none"/>
                <w:u w:val="single"/>
              </w:rPr>
              <w:t>凡二代身份证在开标时不能出示或证件过期的，招标人当场退回其投标文件。</w:t>
            </w:r>
          </w:p>
        </w:tc>
      </w:tr>
      <w:tr w14:paraId="39276C43">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rPr>
          <w:trHeight w:val="0" w:hRule="atLeast"/>
          <w:jc w:val="center"/>
        </w:trPr>
        <w:tc>
          <w:tcPr>
            <w:tcW w:w="907"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57823D80">
            <w:pPr>
              <w:keepNext w:val="0"/>
              <w:keepLines w:val="0"/>
              <w:pageBreakBefore w:val="0"/>
              <w:widowControl w:val="0"/>
              <w:kinsoku/>
              <w:wordWrap/>
              <w:overflowPunct/>
              <w:topLinePunct w:val="0"/>
              <w:autoSpaceDE/>
              <w:autoSpaceDN/>
              <w:bidi w:val="0"/>
              <w:adjustRightInd w:val="0"/>
              <w:snapToGrid w:val="0"/>
              <w:spacing w:line="460" w:lineRule="atLeast"/>
              <w:ind w:left="0" w:leftChars="0" w:right="0" w:rightChars="0"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32</w:t>
            </w:r>
          </w:p>
        </w:tc>
        <w:tc>
          <w:tcPr>
            <w:tcW w:w="1581"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516F1409">
            <w:pPr>
              <w:keepNext w:val="0"/>
              <w:keepLines w:val="0"/>
              <w:pageBreakBefore w:val="0"/>
              <w:widowControl w:val="0"/>
              <w:kinsoku/>
              <w:wordWrap/>
              <w:overflowPunct/>
              <w:topLinePunct w:val="0"/>
              <w:autoSpaceDE/>
              <w:autoSpaceDN/>
              <w:bidi w:val="0"/>
              <w:adjustRightInd w:val="0"/>
              <w:snapToGrid w:val="0"/>
              <w:spacing w:line="460" w:lineRule="atLeast"/>
              <w:ind w:left="0" w:leftChars="0" w:right="0" w:rightChars="0"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是否授权评标委员会确定中标人</w:t>
            </w:r>
          </w:p>
        </w:tc>
        <w:tc>
          <w:tcPr>
            <w:tcW w:w="6033"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24DDCE7B">
            <w:pPr>
              <w:keepNext w:val="0"/>
              <w:keepLines w:val="0"/>
              <w:pageBreakBefore w:val="0"/>
              <w:widowControl w:val="0"/>
              <w:kinsoku/>
              <w:wordWrap/>
              <w:overflowPunct/>
              <w:topLinePunct w:val="0"/>
              <w:autoSpaceDE/>
              <w:autoSpaceDN/>
              <w:bidi w:val="0"/>
              <w:adjustRightInd w:val="0"/>
              <w:snapToGrid w:val="0"/>
              <w:spacing w:line="460" w:lineRule="atLeast"/>
              <w:ind w:left="0" w:leftChars="0" w:right="0" w:rightChars="0"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否，评标委员会推荐1名中标候选人</w:t>
            </w:r>
          </w:p>
        </w:tc>
      </w:tr>
      <w:tr w14:paraId="19EE3493">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rPr>
          <w:trHeight w:val="0" w:hRule="atLeast"/>
          <w:jc w:val="center"/>
        </w:trPr>
        <w:tc>
          <w:tcPr>
            <w:tcW w:w="907"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289CE002">
            <w:pPr>
              <w:keepNext w:val="0"/>
              <w:keepLines w:val="0"/>
              <w:pageBreakBefore w:val="0"/>
              <w:widowControl w:val="0"/>
              <w:kinsoku/>
              <w:wordWrap/>
              <w:overflowPunct/>
              <w:topLinePunct w:val="0"/>
              <w:autoSpaceDE/>
              <w:autoSpaceDN/>
              <w:bidi w:val="0"/>
              <w:adjustRightInd w:val="0"/>
              <w:snapToGrid w:val="0"/>
              <w:spacing w:line="460" w:lineRule="atLeast"/>
              <w:ind w:left="0" w:leftChars="0" w:right="0" w:rightChars="0"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33</w:t>
            </w:r>
          </w:p>
        </w:tc>
        <w:tc>
          <w:tcPr>
            <w:tcW w:w="1581"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06D2EFD1">
            <w:pPr>
              <w:keepNext w:val="0"/>
              <w:keepLines w:val="0"/>
              <w:pageBreakBefore w:val="0"/>
              <w:widowControl w:val="0"/>
              <w:kinsoku/>
              <w:wordWrap/>
              <w:overflowPunct/>
              <w:topLinePunct w:val="0"/>
              <w:autoSpaceDE/>
              <w:autoSpaceDN/>
              <w:bidi w:val="0"/>
              <w:adjustRightInd w:val="0"/>
              <w:snapToGrid w:val="0"/>
              <w:spacing w:line="460" w:lineRule="atLeast"/>
              <w:ind w:left="0" w:leftChars="0" w:right="0" w:rightChars="0"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履约保证金</w:t>
            </w:r>
          </w:p>
        </w:tc>
        <w:tc>
          <w:tcPr>
            <w:tcW w:w="6033"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267E1738">
            <w:pPr>
              <w:keepNext w:val="0"/>
              <w:keepLines w:val="0"/>
              <w:pageBreakBefore w:val="0"/>
              <w:widowControl w:val="0"/>
              <w:kinsoku/>
              <w:wordWrap/>
              <w:overflowPunct/>
              <w:topLinePunct w:val="0"/>
              <w:autoSpaceDE/>
              <w:autoSpaceDN/>
              <w:bidi w:val="0"/>
              <w:adjustRightInd w:val="0"/>
              <w:snapToGrid w:val="0"/>
              <w:spacing w:line="460" w:lineRule="atLeast"/>
              <w:ind w:firstLine="420" w:firstLineChars="200"/>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sz w:val="21"/>
                <w:szCs w:val="21"/>
                <w:highlight w:val="none"/>
              </w:rPr>
              <w:t>本项目履约保证金的金额为</w:t>
            </w:r>
            <w:r>
              <w:rPr>
                <w:rFonts w:hint="eastAsia" w:ascii="宋体" w:hAnsi="宋体" w:eastAsia="宋体" w:cs="宋体"/>
                <w:color w:val="auto"/>
                <w:sz w:val="21"/>
                <w:szCs w:val="21"/>
                <w:highlight w:val="none"/>
                <w:u w:val="single"/>
              </w:rPr>
              <w:t>中标价的10%</w:t>
            </w:r>
            <w:r>
              <w:rPr>
                <w:rFonts w:hint="eastAsia" w:ascii="宋体" w:hAnsi="宋体" w:eastAsia="宋体" w:cs="宋体"/>
                <w:color w:val="auto"/>
                <w:sz w:val="21"/>
                <w:szCs w:val="21"/>
                <w:highlight w:val="none"/>
              </w:rPr>
              <w:t>，</w:t>
            </w:r>
            <w:r>
              <w:rPr>
                <w:rFonts w:hint="eastAsia" w:ascii="宋体" w:hAnsi="宋体" w:eastAsia="宋体" w:cs="宋体"/>
                <w:bCs/>
                <w:color w:val="auto"/>
                <w:sz w:val="21"/>
                <w:szCs w:val="21"/>
                <w:highlight w:val="none"/>
              </w:rPr>
              <w:t>中标人</w:t>
            </w:r>
            <w:r>
              <w:rPr>
                <w:rFonts w:hint="eastAsia" w:ascii="宋体" w:hAnsi="宋体" w:eastAsia="宋体" w:cs="宋体"/>
                <w:color w:val="auto"/>
                <w:sz w:val="21"/>
                <w:szCs w:val="21"/>
                <w:highlight w:val="none"/>
              </w:rPr>
              <w:t>在收到中标通知书后，须在</w:t>
            </w:r>
            <w:r>
              <w:rPr>
                <w:rFonts w:hint="eastAsia" w:ascii="宋体" w:hAnsi="宋体" w:eastAsia="宋体" w:cs="宋体"/>
                <w:color w:val="auto"/>
                <w:sz w:val="21"/>
                <w:szCs w:val="21"/>
                <w:highlight w:val="none"/>
                <w:u w:val="single"/>
              </w:rPr>
              <w:t xml:space="preserve"> 20日历天 </w:t>
            </w:r>
            <w:r>
              <w:rPr>
                <w:rFonts w:hint="eastAsia" w:ascii="宋体" w:hAnsi="宋体" w:eastAsia="宋体" w:cs="宋体"/>
                <w:color w:val="auto"/>
                <w:sz w:val="21"/>
                <w:szCs w:val="21"/>
                <w:highlight w:val="none"/>
              </w:rPr>
              <w:t>内向招标人按招标文件约定方式足额提交履约保证金，否则招标人可以取消其中标资格。</w:t>
            </w:r>
          </w:p>
          <w:p w14:paraId="6A3C130D">
            <w:pPr>
              <w:keepNext w:val="0"/>
              <w:keepLines w:val="0"/>
              <w:pageBreakBefore w:val="0"/>
              <w:widowControl w:val="0"/>
              <w:kinsoku/>
              <w:wordWrap/>
              <w:overflowPunct/>
              <w:topLinePunct w:val="0"/>
              <w:autoSpaceDE/>
              <w:autoSpaceDN/>
              <w:bidi w:val="0"/>
              <w:adjustRightInd w:val="0"/>
              <w:snapToGrid w:val="0"/>
              <w:spacing w:line="460" w:lineRule="atLeas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履约保证金的形式：</w:t>
            </w:r>
          </w:p>
          <w:p w14:paraId="4ACB1B60">
            <w:pPr>
              <w:keepNext w:val="0"/>
              <w:keepLines w:val="0"/>
              <w:pageBreakBefore w:val="0"/>
              <w:widowControl w:val="0"/>
              <w:kinsoku/>
              <w:wordWrap/>
              <w:overflowPunct/>
              <w:topLinePunct w:val="0"/>
              <w:autoSpaceDE/>
              <w:autoSpaceDN/>
              <w:bidi w:val="0"/>
              <w:adjustRightInd w:val="0"/>
              <w:snapToGrid w:val="0"/>
              <w:spacing w:line="460" w:lineRule="atLeast"/>
              <w:ind w:firstLine="422" w:firstLineChars="200"/>
              <w:textAlignment w:val="auto"/>
              <w:rPr>
                <w:rFonts w:hint="eastAsia" w:ascii="宋体" w:hAnsi="宋体" w:eastAsia="宋体" w:cs="宋体"/>
                <w:b/>
                <w:bCs/>
                <w:color w:val="auto"/>
                <w:sz w:val="21"/>
                <w:szCs w:val="21"/>
                <w:highlight w:val="none"/>
                <w:u w:val="single"/>
              </w:rPr>
            </w:pPr>
            <w:r>
              <w:rPr>
                <w:rFonts w:hint="eastAsia" w:ascii="宋体" w:hAnsi="宋体" w:eastAsia="宋体" w:cs="宋体"/>
                <w:b/>
                <w:bCs/>
                <w:color w:val="auto"/>
                <w:sz w:val="21"/>
                <w:szCs w:val="21"/>
                <w:highlight w:val="none"/>
                <w:u w:val="single"/>
              </w:rPr>
              <w:t>（1）</w:t>
            </w:r>
            <w:r>
              <w:rPr>
                <w:rFonts w:hint="eastAsia" w:ascii="宋体" w:hAnsi="宋体" w:eastAsia="宋体" w:cs="宋体"/>
                <w:color w:val="auto"/>
                <w:sz w:val="21"/>
                <w:szCs w:val="21"/>
                <w:highlight w:val="none"/>
                <w:u w:val="single"/>
              </w:rPr>
              <w:t xml:space="preserve"> </w:t>
            </w:r>
            <w:r>
              <w:rPr>
                <w:rFonts w:hint="eastAsia" w:ascii="宋体" w:hAnsi="宋体" w:eastAsia="宋体" w:cs="宋体"/>
                <w:b/>
                <w:bCs/>
                <w:color w:val="auto"/>
                <w:sz w:val="21"/>
                <w:szCs w:val="21"/>
                <w:highlight w:val="none"/>
                <w:u w:val="single"/>
              </w:rPr>
              <w:t>招标人接受中标人从基本账户缴纳的现金、数字人民币或银行保函中任何一种形式的履约保证金。具体形式由中标人自主选择。</w:t>
            </w:r>
          </w:p>
          <w:p w14:paraId="130C560C">
            <w:pPr>
              <w:keepNext w:val="0"/>
              <w:keepLines w:val="0"/>
              <w:pageBreakBefore w:val="0"/>
              <w:widowControl w:val="0"/>
              <w:kinsoku/>
              <w:wordWrap/>
              <w:overflowPunct/>
              <w:topLinePunct w:val="0"/>
              <w:autoSpaceDE/>
              <w:autoSpaceDN/>
              <w:bidi w:val="0"/>
              <w:adjustRightInd w:val="0"/>
              <w:snapToGrid w:val="0"/>
              <w:spacing w:line="460" w:lineRule="atLeast"/>
              <w:ind w:firstLine="422" w:firstLineChars="200"/>
              <w:textAlignment w:val="auto"/>
              <w:rPr>
                <w:rFonts w:hint="eastAsia" w:ascii="宋体" w:hAnsi="宋体" w:eastAsia="宋体" w:cs="宋体"/>
                <w:b/>
                <w:bCs/>
                <w:color w:val="auto"/>
                <w:sz w:val="21"/>
                <w:szCs w:val="21"/>
                <w:highlight w:val="none"/>
                <w:u w:val="single"/>
              </w:rPr>
            </w:pPr>
            <w:r>
              <w:rPr>
                <w:rFonts w:hint="eastAsia" w:ascii="宋体" w:hAnsi="宋体" w:eastAsia="宋体" w:cs="宋体"/>
                <w:b/>
                <w:bCs/>
                <w:color w:val="auto"/>
                <w:sz w:val="21"/>
                <w:szCs w:val="21"/>
                <w:highlight w:val="none"/>
                <w:u w:val="single"/>
              </w:rPr>
              <w:t>（2）本工程接受中标人提供的从基本账户缴纳的担保机构保函、保险机构保单等非现金交易担保方式。</w:t>
            </w:r>
          </w:p>
          <w:p w14:paraId="25C1DB50">
            <w:pPr>
              <w:keepNext w:val="0"/>
              <w:keepLines w:val="0"/>
              <w:pageBreakBefore w:val="0"/>
              <w:widowControl w:val="0"/>
              <w:kinsoku/>
              <w:wordWrap/>
              <w:overflowPunct/>
              <w:topLinePunct w:val="0"/>
              <w:autoSpaceDE/>
              <w:autoSpaceDN/>
              <w:bidi w:val="0"/>
              <w:adjustRightInd w:val="0"/>
              <w:snapToGrid w:val="0"/>
              <w:spacing w:line="460" w:lineRule="atLeast"/>
              <w:ind w:firstLine="408" w:firstLineChars="200"/>
              <w:textAlignment w:val="auto"/>
              <w:rPr>
                <w:rFonts w:hint="eastAsia" w:ascii="宋体" w:hAnsi="宋体" w:eastAsia="宋体" w:cs="宋体"/>
                <w:color w:val="auto"/>
                <w:spacing w:val="-3"/>
                <w:sz w:val="21"/>
                <w:szCs w:val="21"/>
                <w:highlight w:val="none"/>
              </w:rPr>
            </w:pPr>
            <w:r>
              <w:rPr>
                <w:rFonts w:hint="eastAsia" w:ascii="宋体" w:hAnsi="宋体" w:eastAsia="宋体" w:cs="宋体"/>
                <w:color w:val="auto"/>
                <w:spacing w:val="-3"/>
                <w:sz w:val="21"/>
                <w:szCs w:val="21"/>
                <w:highlight w:val="none"/>
              </w:rPr>
              <w:t>注：招标人对中标人不能遵守招标文件约定，不能按时办理中标手续和缴纳履约保证金等费用，影响或者推迟签订合同的，招标人有权在中标通知书发出后第21日历天起宣布该中标人废标，有权没收其投标保证金，并按照国家相关法律、法规和规章的规定，建议行政主管部门予以处罚。</w:t>
            </w:r>
          </w:p>
          <w:p w14:paraId="208B242A">
            <w:pPr>
              <w:keepNext w:val="0"/>
              <w:keepLines w:val="0"/>
              <w:pageBreakBefore w:val="0"/>
              <w:widowControl w:val="0"/>
              <w:numPr>
                <w:ilvl w:val="0"/>
                <w:numId w:val="0"/>
              </w:numPr>
              <w:kinsoku/>
              <w:wordWrap/>
              <w:overflowPunct/>
              <w:topLinePunct w:val="0"/>
              <w:autoSpaceDE/>
              <w:autoSpaceDN/>
              <w:bidi w:val="0"/>
              <w:adjustRightInd w:val="0"/>
              <w:snapToGrid w:val="0"/>
              <w:spacing w:line="460" w:lineRule="atLeast"/>
              <w:ind w:leftChars="0" w:right="0" w:right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招标人履约保证金专用帐户（收款单位：</w:t>
            </w:r>
            <w:r>
              <w:rPr>
                <w:rFonts w:hint="eastAsia" w:ascii="宋体" w:hAnsi="宋体" w:eastAsia="宋体" w:cs="宋体"/>
                <w:color w:val="auto"/>
                <w:spacing w:val="-3"/>
                <w:sz w:val="21"/>
                <w:szCs w:val="21"/>
                <w:highlight w:val="none"/>
                <w:lang w:eastAsia="zh-CN"/>
              </w:rPr>
              <w:t>盐城东方投资开发集团有限公司</w:t>
            </w:r>
            <w:r>
              <w:rPr>
                <w:rFonts w:hint="eastAsia" w:ascii="宋体" w:hAnsi="宋体" w:eastAsia="宋体" w:cs="宋体"/>
                <w:color w:val="auto"/>
                <w:spacing w:val="-3"/>
                <w:sz w:val="21"/>
                <w:szCs w:val="21"/>
                <w:highlight w:val="none"/>
              </w:rPr>
              <w:t>；</w:t>
            </w:r>
            <w:bookmarkStart w:id="20" w:name="OLE_LINK5"/>
            <w:bookmarkStart w:id="21" w:name="OLE_LINK16"/>
            <w:r>
              <w:rPr>
                <w:rFonts w:hint="eastAsia" w:ascii="宋体" w:hAnsi="宋体" w:eastAsia="宋体" w:cs="宋体"/>
                <w:color w:val="auto"/>
                <w:spacing w:val="-3"/>
                <w:sz w:val="21"/>
                <w:szCs w:val="21"/>
                <w:highlight w:val="none"/>
              </w:rPr>
              <w:t>开户银行：建设银行盐城开发区支行；账号：</w:t>
            </w:r>
            <w:bookmarkEnd w:id="20"/>
            <w:bookmarkEnd w:id="21"/>
            <w:r>
              <w:rPr>
                <w:rFonts w:hint="eastAsia" w:ascii="宋体" w:hAnsi="宋体" w:eastAsia="宋体" w:cs="宋体"/>
                <w:color w:val="auto"/>
                <w:spacing w:val="-3"/>
                <w:sz w:val="21"/>
                <w:szCs w:val="21"/>
                <w:highlight w:val="none"/>
                <w:lang w:eastAsia="zh-CN"/>
              </w:rPr>
              <w:t>32001735336050837146</w:t>
            </w:r>
            <w:r>
              <w:rPr>
                <w:rFonts w:hint="eastAsia" w:ascii="宋体" w:hAnsi="宋体" w:eastAsia="宋体" w:cs="宋体"/>
                <w:color w:val="auto"/>
                <w:spacing w:val="-3"/>
                <w:sz w:val="21"/>
                <w:szCs w:val="21"/>
                <w:highlight w:val="none"/>
              </w:rPr>
              <w:t>）。</w:t>
            </w:r>
          </w:p>
        </w:tc>
      </w:tr>
      <w:tr w14:paraId="0126B71B">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rPr>
          <w:trHeight w:val="0" w:hRule="atLeast"/>
          <w:jc w:val="center"/>
        </w:trPr>
        <w:tc>
          <w:tcPr>
            <w:tcW w:w="907"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34FF89B4">
            <w:pPr>
              <w:keepNext w:val="0"/>
              <w:keepLines w:val="0"/>
              <w:pageBreakBefore w:val="0"/>
              <w:widowControl w:val="0"/>
              <w:kinsoku/>
              <w:wordWrap/>
              <w:overflowPunct/>
              <w:topLinePunct w:val="0"/>
              <w:autoSpaceDE/>
              <w:autoSpaceDN/>
              <w:bidi w:val="0"/>
              <w:adjustRightInd w:val="0"/>
              <w:snapToGrid w:val="0"/>
              <w:spacing w:line="460" w:lineRule="atLeast"/>
              <w:ind w:left="0" w:leftChars="0" w:right="0" w:rightChars="0"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34</w:t>
            </w:r>
          </w:p>
        </w:tc>
        <w:tc>
          <w:tcPr>
            <w:tcW w:w="1581"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5C17E6F7">
            <w:pPr>
              <w:keepNext w:val="0"/>
              <w:keepLines w:val="0"/>
              <w:pageBreakBefore w:val="0"/>
              <w:widowControl w:val="0"/>
              <w:kinsoku/>
              <w:wordWrap/>
              <w:overflowPunct/>
              <w:topLinePunct w:val="0"/>
              <w:autoSpaceDE/>
              <w:autoSpaceDN/>
              <w:bidi w:val="0"/>
              <w:adjustRightInd w:val="0"/>
              <w:snapToGrid w:val="0"/>
              <w:spacing w:line="460" w:lineRule="atLeast"/>
              <w:ind w:left="0" w:leftChars="0" w:right="0" w:rightChars="0"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合同文本</w:t>
            </w:r>
          </w:p>
        </w:tc>
        <w:tc>
          <w:tcPr>
            <w:tcW w:w="6033"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183A05BA">
            <w:pPr>
              <w:keepNext w:val="0"/>
              <w:keepLines w:val="0"/>
              <w:pageBreakBefore w:val="0"/>
              <w:widowControl w:val="0"/>
              <w:kinsoku/>
              <w:wordWrap/>
              <w:overflowPunct/>
              <w:topLinePunct w:val="0"/>
              <w:autoSpaceDE/>
              <w:autoSpaceDN/>
              <w:bidi w:val="0"/>
              <w:adjustRightInd w:val="0"/>
              <w:snapToGrid w:val="0"/>
              <w:spacing w:line="460" w:lineRule="atLeast"/>
              <w:ind w:left="0" w:leftChars="0" w:right="0" w:rightChars="0"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详见招标文件第四章</w:t>
            </w:r>
          </w:p>
        </w:tc>
      </w:tr>
      <w:tr w14:paraId="1741604D">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rPr>
          <w:trHeight w:val="0" w:hRule="atLeast"/>
          <w:jc w:val="center"/>
        </w:trPr>
        <w:tc>
          <w:tcPr>
            <w:tcW w:w="907"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690B4B3D">
            <w:pPr>
              <w:keepNext w:val="0"/>
              <w:keepLines w:val="0"/>
              <w:pageBreakBefore w:val="0"/>
              <w:widowControl w:val="0"/>
              <w:kinsoku/>
              <w:wordWrap/>
              <w:overflowPunct/>
              <w:topLinePunct w:val="0"/>
              <w:autoSpaceDE/>
              <w:autoSpaceDN/>
              <w:bidi w:val="0"/>
              <w:adjustRightInd w:val="0"/>
              <w:snapToGrid w:val="0"/>
              <w:spacing w:line="460" w:lineRule="atLeast"/>
              <w:ind w:left="0" w:leftChars="0" w:right="0" w:rightChars="0"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35</w:t>
            </w:r>
          </w:p>
        </w:tc>
        <w:tc>
          <w:tcPr>
            <w:tcW w:w="1581"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0F7B1D62">
            <w:pPr>
              <w:keepNext w:val="0"/>
              <w:keepLines w:val="0"/>
              <w:pageBreakBefore w:val="0"/>
              <w:widowControl w:val="0"/>
              <w:kinsoku/>
              <w:wordWrap/>
              <w:overflowPunct/>
              <w:topLinePunct w:val="0"/>
              <w:autoSpaceDE/>
              <w:autoSpaceDN/>
              <w:bidi w:val="0"/>
              <w:adjustRightInd w:val="0"/>
              <w:snapToGrid w:val="0"/>
              <w:spacing w:line="460" w:lineRule="atLeast"/>
              <w:ind w:left="0" w:leftChars="0" w:right="0" w:rightChars="0"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其他说明</w:t>
            </w:r>
          </w:p>
        </w:tc>
        <w:tc>
          <w:tcPr>
            <w:tcW w:w="6033"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32B655F9">
            <w:pPr>
              <w:keepNext w:val="0"/>
              <w:keepLines w:val="0"/>
              <w:pageBreakBefore w:val="0"/>
              <w:widowControl w:val="0"/>
              <w:numPr>
                <w:ilvl w:val="0"/>
                <w:numId w:val="3"/>
              </w:numPr>
              <w:kinsoku/>
              <w:wordWrap/>
              <w:overflowPunct/>
              <w:topLinePunct w:val="0"/>
              <w:autoSpaceDE/>
              <w:autoSpaceDN/>
              <w:bidi w:val="0"/>
              <w:adjustRightInd w:val="0"/>
              <w:snapToGrid w:val="0"/>
              <w:spacing w:line="460" w:lineRule="atLeast"/>
              <w:ind w:left="0" w:leftChars="0" w:right="0" w:rightChars="0"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本招标文件时间均以中华人民共和国北京时间为准，所涉及金额的币种均为人民币。</w:t>
            </w:r>
          </w:p>
          <w:p w14:paraId="1BF49F3A">
            <w:pPr>
              <w:keepNext w:val="0"/>
              <w:keepLines w:val="0"/>
              <w:pageBreakBefore w:val="0"/>
              <w:widowControl w:val="0"/>
              <w:numPr>
                <w:ilvl w:val="0"/>
                <w:numId w:val="3"/>
              </w:numPr>
              <w:kinsoku/>
              <w:wordWrap/>
              <w:overflowPunct/>
              <w:topLinePunct w:val="0"/>
              <w:autoSpaceDE/>
              <w:autoSpaceDN/>
              <w:bidi w:val="0"/>
              <w:adjustRightInd w:val="0"/>
              <w:snapToGrid w:val="0"/>
              <w:spacing w:line="460" w:lineRule="atLeast"/>
              <w:ind w:left="0" w:leftChars="0" w:right="0" w:rightChars="0"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凡参与本工程投标的投标人，视同已踏勘过项目现场和研究了本招标文件的所有内容，并无保留地接受招标文件的所有条款（含招标答疑、补充通知及最高投标限价等）。</w:t>
            </w:r>
          </w:p>
          <w:p w14:paraId="11061F0B">
            <w:pPr>
              <w:keepNext w:val="0"/>
              <w:keepLines w:val="0"/>
              <w:pageBreakBefore w:val="0"/>
              <w:widowControl w:val="0"/>
              <w:numPr>
                <w:ilvl w:val="0"/>
                <w:numId w:val="0"/>
              </w:numPr>
              <w:kinsoku/>
              <w:wordWrap/>
              <w:overflowPunct/>
              <w:topLinePunct w:val="0"/>
              <w:autoSpaceDE/>
              <w:autoSpaceDN/>
              <w:bidi w:val="0"/>
              <w:adjustRightInd w:val="0"/>
              <w:snapToGrid w:val="0"/>
              <w:spacing w:line="460" w:lineRule="atLeast"/>
              <w:ind w:leftChars="0" w:right="0" w:right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3、本招标文件的解释权归招标人所有。</w:t>
            </w:r>
          </w:p>
        </w:tc>
      </w:tr>
      <w:tr w14:paraId="58A06F49">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rPr>
          <w:trHeight w:val="0" w:hRule="atLeast"/>
          <w:jc w:val="center"/>
        </w:trPr>
        <w:tc>
          <w:tcPr>
            <w:tcW w:w="907"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6F1FE31F">
            <w:pPr>
              <w:keepNext w:val="0"/>
              <w:keepLines w:val="0"/>
              <w:pageBreakBefore w:val="0"/>
              <w:widowControl w:val="0"/>
              <w:kinsoku/>
              <w:wordWrap/>
              <w:overflowPunct/>
              <w:topLinePunct w:val="0"/>
              <w:autoSpaceDE/>
              <w:autoSpaceDN/>
              <w:bidi w:val="0"/>
              <w:adjustRightInd w:val="0"/>
              <w:snapToGrid w:val="0"/>
              <w:spacing w:line="460" w:lineRule="atLeast"/>
              <w:ind w:left="0" w:leftChars="0" w:right="0" w:rightChars="0"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36</w:t>
            </w:r>
          </w:p>
        </w:tc>
        <w:tc>
          <w:tcPr>
            <w:tcW w:w="1581"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77F38D06">
            <w:pPr>
              <w:keepNext w:val="0"/>
              <w:keepLines w:val="0"/>
              <w:pageBreakBefore w:val="0"/>
              <w:widowControl w:val="0"/>
              <w:kinsoku/>
              <w:wordWrap/>
              <w:overflowPunct/>
              <w:topLinePunct w:val="0"/>
              <w:autoSpaceDE/>
              <w:autoSpaceDN/>
              <w:bidi w:val="0"/>
              <w:adjustRightInd w:val="0"/>
              <w:snapToGrid w:val="0"/>
              <w:spacing w:line="460" w:lineRule="atLeast"/>
              <w:ind w:left="0" w:leftChars="0" w:right="0" w:rightChars="0"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解释权</w:t>
            </w:r>
          </w:p>
        </w:tc>
        <w:tc>
          <w:tcPr>
            <w:tcW w:w="6033"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64076D0B">
            <w:pPr>
              <w:keepNext w:val="0"/>
              <w:keepLines w:val="0"/>
              <w:pageBreakBefore w:val="0"/>
              <w:widowControl w:val="0"/>
              <w:kinsoku/>
              <w:wordWrap/>
              <w:overflowPunct/>
              <w:topLinePunct w:val="0"/>
              <w:autoSpaceDE/>
              <w:autoSpaceDN/>
              <w:bidi w:val="0"/>
              <w:adjustRightInd w:val="0"/>
              <w:snapToGrid w:val="0"/>
              <w:spacing w:line="460" w:lineRule="atLeast"/>
              <w:ind w:left="0" w:leftChars="0" w:right="0" w:rightChars="0"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构成本招标文件的各个组成文件应互为解释，互为说明；如有不明确或不一致，构成合同文件组成内容的，以合同文件约定内容为准，且以专用合同条款约定的合同文件优先顺序解释；除招标文件中有特别规定外，仅适用于招标投标阶段的规定，按招标公告（投标邀请书）、投标人须知、评标办法、投标文件格式的先后顺序解释；同一组成文件中就同一事项的规定或约定不一致的，以编排顺序在后者为准；同一组成文件不同版本之间有不一致的，以形成时间在后者为准。按本款前述规定仍不能形成结论的，由招标人负责解释。</w:t>
            </w:r>
          </w:p>
        </w:tc>
      </w:tr>
    </w:tbl>
    <w:p w14:paraId="44CC6B26">
      <w:pPr>
        <w:pStyle w:val="2"/>
        <w:keepNext w:val="0"/>
        <w:keepLines w:val="0"/>
        <w:pageBreakBefore w:val="0"/>
        <w:widowControl w:val="0"/>
        <w:numPr>
          <w:ilvl w:val="0"/>
          <w:numId w:val="4"/>
        </w:numPr>
        <w:tabs>
          <w:tab w:val="left" w:pos="962"/>
          <w:tab w:val="clear" w:pos="210"/>
        </w:tabs>
        <w:kinsoku/>
        <w:wordWrap/>
        <w:overflowPunct/>
        <w:topLinePunct w:val="0"/>
        <w:autoSpaceDE/>
        <w:autoSpaceDN/>
        <w:bidi w:val="0"/>
        <w:adjustRightInd w:val="0"/>
        <w:snapToGrid w:val="0"/>
        <w:spacing w:before="0" w:beforeLines="0" w:after="0" w:line="460" w:lineRule="atLeast"/>
        <w:ind w:left="0" w:leftChars="0" w:firstLine="482" w:firstLineChars="200"/>
        <w:textAlignment w:val="auto"/>
        <w:rPr>
          <w:rFonts w:hint="eastAsia" w:ascii="宋体" w:hAnsi="宋体" w:eastAsia="宋体" w:cs="宋体"/>
          <w:b/>
          <w:color w:val="auto"/>
          <w:sz w:val="21"/>
          <w:szCs w:val="21"/>
          <w:highlight w:val="none"/>
        </w:rPr>
      </w:pPr>
      <w:bookmarkStart w:id="22" w:name="heading_15"/>
      <w:r>
        <w:rPr>
          <w:rFonts w:hint="eastAsia" w:ascii="宋体" w:hAnsi="宋体" w:eastAsia="宋体" w:cs="宋体"/>
          <w:color w:val="auto"/>
          <w:highlight w:val="none"/>
        </w:rPr>
        <w:br w:type="page"/>
      </w:r>
      <w:r>
        <w:rPr>
          <w:rFonts w:hint="eastAsia" w:ascii="宋体" w:hAnsi="宋体" w:eastAsia="宋体" w:cs="宋体"/>
          <w:color w:val="auto"/>
          <w:highlight w:val="none"/>
        </w:rPr>
        <w:t>总则</w:t>
      </w:r>
      <w:bookmarkEnd w:id="22"/>
    </w:p>
    <w:p w14:paraId="63BC1E1F">
      <w:pPr>
        <w:pStyle w:val="3"/>
        <w:keepNext w:val="0"/>
        <w:keepLines w:val="0"/>
        <w:pageBreakBefore w:val="0"/>
        <w:widowControl w:val="0"/>
        <w:numPr>
          <w:ilvl w:val="0"/>
          <w:numId w:val="5"/>
        </w:numPr>
        <w:tabs>
          <w:tab w:val="left" w:pos="861"/>
          <w:tab w:val="clear" w:pos="210"/>
        </w:tabs>
        <w:kinsoku/>
        <w:wordWrap/>
        <w:overflowPunct/>
        <w:topLinePunct w:val="0"/>
        <w:autoSpaceDE/>
        <w:autoSpaceDN/>
        <w:bidi w:val="0"/>
        <w:adjustRightInd w:val="0"/>
        <w:snapToGrid w:val="0"/>
        <w:spacing w:after="0" w:line="460" w:lineRule="atLeast"/>
        <w:ind w:left="0" w:leftChars="0" w:firstLine="422" w:firstLineChars="200"/>
        <w:textAlignment w:val="auto"/>
        <w:rPr>
          <w:rFonts w:hint="eastAsia" w:ascii="宋体" w:hAnsi="宋体" w:eastAsia="宋体" w:cs="宋体"/>
          <w:b/>
          <w:color w:val="auto"/>
          <w:sz w:val="21"/>
          <w:szCs w:val="21"/>
          <w:highlight w:val="none"/>
        </w:rPr>
      </w:pPr>
      <w:r>
        <w:rPr>
          <w:rFonts w:hint="eastAsia" w:ascii="宋体" w:hAnsi="宋体" w:eastAsia="宋体" w:cs="宋体"/>
          <w:color w:val="auto"/>
          <w:sz w:val="21"/>
          <w:szCs w:val="21"/>
          <w:highlight w:val="none"/>
        </w:rPr>
        <w:t>项目概况</w:t>
      </w:r>
    </w:p>
    <w:p w14:paraId="7244A2C8">
      <w:pPr>
        <w:pStyle w:val="11"/>
        <w:keepNext w:val="0"/>
        <w:keepLines w:val="0"/>
        <w:pageBreakBefore w:val="0"/>
        <w:widowControl w:val="0"/>
        <w:numPr>
          <w:ilvl w:val="0"/>
          <w:numId w:val="6"/>
        </w:numPr>
        <w:tabs>
          <w:tab w:val="left" w:pos="1080"/>
          <w:tab w:val="clear" w:pos="210"/>
        </w:tabs>
        <w:kinsoku/>
        <w:wordWrap/>
        <w:overflowPunct/>
        <w:topLinePunct w:val="0"/>
        <w:autoSpaceDE/>
        <w:autoSpaceDN/>
        <w:bidi w:val="0"/>
        <w:adjustRightInd w:val="0"/>
        <w:snapToGrid w:val="0"/>
        <w:spacing w:after="0" w:line="460" w:lineRule="atLeast"/>
        <w:ind w:left="0" w:leftChars="0" w:firstLine="420" w:firstLineChars="200"/>
        <w:textAlignment w:val="auto"/>
        <w:rPr>
          <w:rFonts w:hint="eastAsia" w:ascii="宋体" w:hAnsi="宋体" w:eastAsia="宋体" w:cs="宋体"/>
          <w:b w:val="0"/>
          <w:color w:val="auto"/>
          <w:sz w:val="21"/>
          <w:szCs w:val="21"/>
          <w:highlight w:val="none"/>
        </w:rPr>
      </w:pPr>
      <w:r>
        <w:rPr>
          <w:rFonts w:hint="eastAsia" w:ascii="宋体" w:hAnsi="宋体" w:eastAsia="宋体" w:cs="宋体"/>
          <w:color w:val="auto"/>
          <w:sz w:val="21"/>
          <w:szCs w:val="21"/>
          <w:highlight w:val="none"/>
        </w:rPr>
        <w:t>根据《中华人民共和国招标投标法》《中华人民共和国招标投标法实施条例》等有关法律、法规和规章的规定，本招标项目已具备招标条件，现对本项目进行招标。</w:t>
      </w:r>
    </w:p>
    <w:p w14:paraId="34C1EABC">
      <w:pPr>
        <w:pStyle w:val="11"/>
        <w:keepNext w:val="0"/>
        <w:keepLines w:val="0"/>
        <w:pageBreakBefore w:val="0"/>
        <w:widowControl w:val="0"/>
        <w:numPr>
          <w:ilvl w:val="0"/>
          <w:numId w:val="6"/>
        </w:numPr>
        <w:tabs>
          <w:tab w:val="left" w:pos="1080"/>
          <w:tab w:val="clear" w:pos="210"/>
        </w:tabs>
        <w:kinsoku/>
        <w:wordWrap/>
        <w:overflowPunct/>
        <w:topLinePunct w:val="0"/>
        <w:autoSpaceDE/>
        <w:autoSpaceDN/>
        <w:bidi w:val="0"/>
        <w:adjustRightInd w:val="0"/>
        <w:snapToGrid w:val="0"/>
        <w:spacing w:after="0" w:line="460" w:lineRule="atLeast"/>
        <w:ind w:left="0" w:leftChars="0" w:firstLine="420" w:firstLineChars="200"/>
        <w:textAlignment w:val="auto"/>
        <w:rPr>
          <w:rFonts w:hint="eastAsia" w:ascii="宋体" w:hAnsi="宋体" w:eastAsia="宋体" w:cs="宋体"/>
          <w:b w:val="0"/>
          <w:color w:val="auto"/>
          <w:sz w:val="21"/>
          <w:szCs w:val="21"/>
          <w:highlight w:val="none"/>
        </w:rPr>
      </w:pPr>
      <w:r>
        <w:rPr>
          <w:rFonts w:hint="eastAsia" w:ascii="宋体" w:hAnsi="宋体" w:eastAsia="宋体" w:cs="宋体"/>
          <w:color w:val="auto"/>
          <w:sz w:val="21"/>
          <w:szCs w:val="21"/>
          <w:highlight w:val="none"/>
        </w:rPr>
        <w:t>本招标项目招标人：见投标人须知前附表。</w:t>
      </w:r>
    </w:p>
    <w:p w14:paraId="6CA0C2E2">
      <w:pPr>
        <w:pStyle w:val="11"/>
        <w:keepNext w:val="0"/>
        <w:keepLines w:val="0"/>
        <w:pageBreakBefore w:val="0"/>
        <w:widowControl w:val="0"/>
        <w:numPr>
          <w:ilvl w:val="0"/>
          <w:numId w:val="6"/>
        </w:numPr>
        <w:tabs>
          <w:tab w:val="left" w:pos="1080"/>
          <w:tab w:val="clear" w:pos="210"/>
        </w:tabs>
        <w:kinsoku/>
        <w:wordWrap/>
        <w:overflowPunct/>
        <w:topLinePunct w:val="0"/>
        <w:autoSpaceDE/>
        <w:autoSpaceDN/>
        <w:bidi w:val="0"/>
        <w:adjustRightInd w:val="0"/>
        <w:snapToGrid w:val="0"/>
        <w:spacing w:after="0" w:line="460" w:lineRule="atLeast"/>
        <w:ind w:left="0" w:leftChars="0" w:firstLine="420" w:firstLineChars="200"/>
        <w:textAlignment w:val="auto"/>
        <w:rPr>
          <w:rFonts w:hint="eastAsia" w:ascii="宋体" w:hAnsi="宋体" w:eastAsia="宋体" w:cs="宋体"/>
          <w:b w:val="0"/>
          <w:color w:val="auto"/>
          <w:sz w:val="21"/>
          <w:szCs w:val="21"/>
          <w:highlight w:val="none"/>
        </w:rPr>
      </w:pPr>
      <w:r>
        <w:rPr>
          <w:rFonts w:hint="eastAsia" w:ascii="宋体" w:hAnsi="宋体" w:eastAsia="宋体" w:cs="宋体"/>
          <w:color w:val="auto"/>
          <w:sz w:val="21"/>
          <w:szCs w:val="21"/>
          <w:highlight w:val="none"/>
        </w:rPr>
        <w:t>本招标项目招标代理机构：见投标人须知前附表。</w:t>
      </w:r>
    </w:p>
    <w:p w14:paraId="42C3AEBF">
      <w:pPr>
        <w:pStyle w:val="11"/>
        <w:keepNext w:val="0"/>
        <w:keepLines w:val="0"/>
        <w:pageBreakBefore w:val="0"/>
        <w:widowControl w:val="0"/>
        <w:numPr>
          <w:ilvl w:val="0"/>
          <w:numId w:val="6"/>
        </w:numPr>
        <w:tabs>
          <w:tab w:val="left" w:pos="1080"/>
          <w:tab w:val="clear" w:pos="210"/>
        </w:tabs>
        <w:kinsoku/>
        <w:wordWrap/>
        <w:overflowPunct/>
        <w:topLinePunct w:val="0"/>
        <w:autoSpaceDE/>
        <w:autoSpaceDN/>
        <w:bidi w:val="0"/>
        <w:adjustRightInd w:val="0"/>
        <w:snapToGrid w:val="0"/>
        <w:spacing w:after="0" w:line="460" w:lineRule="atLeast"/>
        <w:ind w:left="0" w:leftChars="0" w:firstLine="420" w:firstLineChars="200"/>
        <w:textAlignment w:val="auto"/>
        <w:rPr>
          <w:rFonts w:hint="eastAsia" w:ascii="宋体" w:hAnsi="宋体" w:eastAsia="宋体" w:cs="宋体"/>
          <w:b w:val="0"/>
          <w:color w:val="auto"/>
          <w:sz w:val="21"/>
          <w:szCs w:val="21"/>
          <w:highlight w:val="none"/>
        </w:rPr>
      </w:pPr>
      <w:r>
        <w:rPr>
          <w:rFonts w:hint="eastAsia" w:ascii="宋体" w:hAnsi="宋体" w:eastAsia="宋体" w:cs="宋体"/>
          <w:color w:val="auto"/>
          <w:sz w:val="21"/>
          <w:szCs w:val="21"/>
          <w:highlight w:val="none"/>
        </w:rPr>
        <w:t>工程项目名称：见投标人须知前附表，工程项目是指本招标项目所属的工程建设总项目。</w:t>
      </w:r>
    </w:p>
    <w:p w14:paraId="2EB65F74">
      <w:pPr>
        <w:pStyle w:val="11"/>
        <w:keepNext w:val="0"/>
        <w:keepLines w:val="0"/>
        <w:pageBreakBefore w:val="0"/>
        <w:widowControl w:val="0"/>
        <w:numPr>
          <w:ilvl w:val="0"/>
          <w:numId w:val="6"/>
        </w:numPr>
        <w:tabs>
          <w:tab w:val="left" w:pos="1080"/>
          <w:tab w:val="clear" w:pos="210"/>
        </w:tabs>
        <w:kinsoku/>
        <w:wordWrap/>
        <w:overflowPunct/>
        <w:topLinePunct w:val="0"/>
        <w:autoSpaceDE/>
        <w:autoSpaceDN/>
        <w:bidi w:val="0"/>
        <w:adjustRightInd w:val="0"/>
        <w:snapToGrid w:val="0"/>
        <w:spacing w:after="0" w:line="460" w:lineRule="atLeast"/>
        <w:ind w:left="0" w:leftChars="0" w:firstLine="420" w:firstLineChars="200"/>
        <w:textAlignment w:val="auto"/>
        <w:rPr>
          <w:rFonts w:hint="eastAsia" w:ascii="宋体" w:hAnsi="宋体" w:eastAsia="宋体" w:cs="宋体"/>
          <w:b w:val="0"/>
          <w:color w:val="auto"/>
          <w:sz w:val="21"/>
          <w:szCs w:val="21"/>
          <w:highlight w:val="none"/>
        </w:rPr>
      </w:pPr>
      <w:r>
        <w:rPr>
          <w:rFonts w:hint="eastAsia" w:ascii="宋体" w:hAnsi="宋体" w:eastAsia="宋体" w:cs="宋体"/>
          <w:color w:val="auto"/>
          <w:sz w:val="21"/>
          <w:szCs w:val="21"/>
          <w:highlight w:val="none"/>
        </w:rPr>
        <w:t>本招标项目名称：见投标人须知前附表，招标项目是指本次招标的具体项目。</w:t>
      </w:r>
    </w:p>
    <w:p w14:paraId="5524C193">
      <w:pPr>
        <w:pStyle w:val="3"/>
        <w:keepNext w:val="0"/>
        <w:keepLines w:val="0"/>
        <w:pageBreakBefore w:val="0"/>
        <w:widowControl w:val="0"/>
        <w:numPr>
          <w:ilvl w:val="0"/>
          <w:numId w:val="5"/>
        </w:numPr>
        <w:tabs>
          <w:tab w:val="left" w:pos="861"/>
          <w:tab w:val="clear" w:pos="210"/>
        </w:tabs>
        <w:kinsoku/>
        <w:wordWrap/>
        <w:overflowPunct/>
        <w:topLinePunct w:val="0"/>
        <w:autoSpaceDE/>
        <w:autoSpaceDN/>
        <w:bidi w:val="0"/>
        <w:adjustRightInd w:val="0"/>
        <w:snapToGrid w:val="0"/>
        <w:spacing w:after="0" w:line="460" w:lineRule="atLeast"/>
        <w:ind w:left="0" w:leftChars="0" w:firstLine="422" w:firstLineChars="200"/>
        <w:textAlignment w:val="auto"/>
        <w:rPr>
          <w:rFonts w:hint="eastAsia" w:ascii="宋体" w:hAnsi="宋体" w:eastAsia="宋体" w:cs="宋体"/>
          <w:b/>
          <w:color w:val="auto"/>
          <w:sz w:val="21"/>
          <w:szCs w:val="21"/>
          <w:highlight w:val="none"/>
        </w:rPr>
      </w:pPr>
      <w:r>
        <w:rPr>
          <w:rFonts w:hint="eastAsia" w:ascii="宋体" w:hAnsi="宋体" w:eastAsia="宋体" w:cs="宋体"/>
          <w:color w:val="auto"/>
          <w:sz w:val="21"/>
          <w:szCs w:val="21"/>
          <w:highlight w:val="none"/>
        </w:rPr>
        <w:t>资金来源和落实情况</w:t>
      </w:r>
    </w:p>
    <w:p w14:paraId="72FB878D">
      <w:pPr>
        <w:pStyle w:val="11"/>
        <w:keepNext w:val="0"/>
        <w:keepLines w:val="0"/>
        <w:pageBreakBefore w:val="0"/>
        <w:widowControl w:val="0"/>
        <w:numPr>
          <w:ilvl w:val="0"/>
          <w:numId w:val="7"/>
        </w:numPr>
        <w:tabs>
          <w:tab w:val="left" w:pos="1080"/>
          <w:tab w:val="clear" w:pos="210"/>
        </w:tabs>
        <w:kinsoku/>
        <w:wordWrap/>
        <w:overflowPunct/>
        <w:topLinePunct w:val="0"/>
        <w:autoSpaceDE/>
        <w:autoSpaceDN/>
        <w:bidi w:val="0"/>
        <w:adjustRightInd w:val="0"/>
        <w:snapToGrid w:val="0"/>
        <w:spacing w:after="0" w:line="460" w:lineRule="atLeast"/>
        <w:ind w:left="0" w:leftChars="0" w:firstLine="420" w:firstLineChars="200"/>
        <w:textAlignment w:val="auto"/>
        <w:rPr>
          <w:rFonts w:hint="eastAsia" w:ascii="宋体" w:hAnsi="宋体" w:eastAsia="宋体" w:cs="宋体"/>
          <w:b w:val="0"/>
          <w:color w:val="auto"/>
          <w:sz w:val="21"/>
          <w:szCs w:val="21"/>
          <w:highlight w:val="none"/>
        </w:rPr>
      </w:pPr>
      <w:r>
        <w:rPr>
          <w:rFonts w:hint="eastAsia" w:ascii="宋体" w:hAnsi="宋体" w:eastAsia="宋体" w:cs="宋体"/>
          <w:color w:val="auto"/>
          <w:sz w:val="21"/>
          <w:szCs w:val="21"/>
          <w:highlight w:val="none"/>
        </w:rPr>
        <w:t>本招标项目的资金来源：见投标人须知前附表。</w:t>
      </w:r>
    </w:p>
    <w:p w14:paraId="70358E7D">
      <w:pPr>
        <w:pStyle w:val="11"/>
        <w:keepNext w:val="0"/>
        <w:keepLines w:val="0"/>
        <w:pageBreakBefore w:val="0"/>
        <w:widowControl w:val="0"/>
        <w:numPr>
          <w:ilvl w:val="0"/>
          <w:numId w:val="7"/>
        </w:numPr>
        <w:tabs>
          <w:tab w:val="left" w:pos="1080"/>
          <w:tab w:val="clear" w:pos="210"/>
        </w:tabs>
        <w:kinsoku/>
        <w:wordWrap/>
        <w:overflowPunct/>
        <w:topLinePunct w:val="0"/>
        <w:autoSpaceDE/>
        <w:autoSpaceDN/>
        <w:bidi w:val="0"/>
        <w:adjustRightInd w:val="0"/>
        <w:snapToGrid w:val="0"/>
        <w:spacing w:after="0" w:line="460" w:lineRule="atLeast"/>
        <w:ind w:left="0" w:leftChars="0" w:firstLine="420" w:firstLineChars="200"/>
        <w:textAlignment w:val="auto"/>
        <w:rPr>
          <w:rFonts w:hint="eastAsia" w:ascii="宋体" w:hAnsi="宋体" w:eastAsia="宋体" w:cs="宋体"/>
          <w:b w:val="0"/>
          <w:color w:val="auto"/>
          <w:sz w:val="21"/>
          <w:szCs w:val="21"/>
          <w:highlight w:val="none"/>
        </w:rPr>
      </w:pPr>
      <w:r>
        <w:rPr>
          <w:rFonts w:hint="eastAsia" w:ascii="宋体" w:hAnsi="宋体" w:eastAsia="宋体" w:cs="宋体"/>
          <w:color w:val="auto"/>
          <w:sz w:val="21"/>
          <w:szCs w:val="21"/>
          <w:highlight w:val="none"/>
        </w:rPr>
        <w:t>本招标项目的出资比例：见投标人须知前附表。</w:t>
      </w:r>
    </w:p>
    <w:p w14:paraId="6F00944F">
      <w:pPr>
        <w:pStyle w:val="11"/>
        <w:keepNext w:val="0"/>
        <w:keepLines w:val="0"/>
        <w:pageBreakBefore w:val="0"/>
        <w:widowControl w:val="0"/>
        <w:numPr>
          <w:ilvl w:val="0"/>
          <w:numId w:val="7"/>
        </w:numPr>
        <w:tabs>
          <w:tab w:val="left" w:pos="1080"/>
          <w:tab w:val="clear" w:pos="210"/>
        </w:tabs>
        <w:kinsoku/>
        <w:wordWrap/>
        <w:overflowPunct/>
        <w:topLinePunct w:val="0"/>
        <w:autoSpaceDE/>
        <w:autoSpaceDN/>
        <w:bidi w:val="0"/>
        <w:adjustRightInd w:val="0"/>
        <w:snapToGrid w:val="0"/>
        <w:spacing w:after="0" w:line="460" w:lineRule="atLeast"/>
        <w:ind w:left="0" w:leftChars="0" w:firstLine="420" w:firstLineChars="200"/>
        <w:textAlignment w:val="auto"/>
        <w:rPr>
          <w:rFonts w:hint="eastAsia" w:ascii="宋体" w:hAnsi="宋体" w:eastAsia="宋体" w:cs="宋体"/>
          <w:b w:val="0"/>
          <w:color w:val="auto"/>
          <w:sz w:val="21"/>
          <w:szCs w:val="21"/>
          <w:highlight w:val="none"/>
        </w:rPr>
      </w:pPr>
      <w:r>
        <w:rPr>
          <w:rFonts w:hint="eastAsia" w:ascii="宋体" w:hAnsi="宋体" w:eastAsia="宋体" w:cs="宋体"/>
          <w:color w:val="auto"/>
          <w:sz w:val="21"/>
          <w:szCs w:val="21"/>
          <w:highlight w:val="none"/>
        </w:rPr>
        <w:t>本招标项目的资金落实情况：见投标人须知前附表。</w:t>
      </w:r>
    </w:p>
    <w:p w14:paraId="03FDCBBB">
      <w:pPr>
        <w:pStyle w:val="3"/>
        <w:keepNext w:val="0"/>
        <w:keepLines w:val="0"/>
        <w:pageBreakBefore w:val="0"/>
        <w:widowControl w:val="0"/>
        <w:numPr>
          <w:ilvl w:val="0"/>
          <w:numId w:val="5"/>
        </w:numPr>
        <w:tabs>
          <w:tab w:val="left" w:pos="861"/>
          <w:tab w:val="clear" w:pos="210"/>
        </w:tabs>
        <w:kinsoku/>
        <w:wordWrap/>
        <w:overflowPunct/>
        <w:topLinePunct w:val="0"/>
        <w:autoSpaceDE/>
        <w:autoSpaceDN/>
        <w:bidi w:val="0"/>
        <w:adjustRightInd w:val="0"/>
        <w:snapToGrid w:val="0"/>
        <w:spacing w:after="0" w:line="460" w:lineRule="atLeast"/>
        <w:ind w:left="0" w:leftChars="0" w:firstLine="422" w:firstLineChars="200"/>
        <w:textAlignment w:val="auto"/>
        <w:rPr>
          <w:rFonts w:hint="eastAsia" w:ascii="宋体" w:hAnsi="宋体" w:eastAsia="宋体" w:cs="宋体"/>
          <w:b/>
          <w:color w:val="auto"/>
          <w:sz w:val="21"/>
          <w:szCs w:val="21"/>
          <w:highlight w:val="none"/>
        </w:rPr>
      </w:pPr>
      <w:r>
        <w:rPr>
          <w:rFonts w:hint="eastAsia" w:ascii="宋体" w:hAnsi="宋体" w:eastAsia="宋体" w:cs="宋体"/>
          <w:color w:val="auto"/>
          <w:sz w:val="21"/>
          <w:szCs w:val="21"/>
          <w:highlight w:val="none"/>
        </w:rPr>
        <w:t>招标范围、项目服务期和质量要求</w:t>
      </w:r>
    </w:p>
    <w:p w14:paraId="3A6E00A3">
      <w:pPr>
        <w:pStyle w:val="11"/>
        <w:keepNext w:val="0"/>
        <w:keepLines w:val="0"/>
        <w:pageBreakBefore w:val="0"/>
        <w:widowControl w:val="0"/>
        <w:numPr>
          <w:ilvl w:val="0"/>
          <w:numId w:val="8"/>
        </w:numPr>
        <w:tabs>
          <w:tab w:val="left" w:pos="1080"/>
          <w:tab w:val="clear" w:pos="210"/>
        </w:tabs>
        <w:kinsoku/>
        <w:wordWrap/>
        <w:overflowPunct/>
        <w:topLinePunct w:val="0"/>
        <w:autoSpaceDE/>
        <w:autoSpaceDN/>
        <w:bidi w:val="0"/>
        <w:adjustRightInd w:val="0"/>
        <w:snapToGrid w:val="0"/>
        <w:spacing w:after="0" w:line="460" w:lineRule="atLeast"/>
        <w:ind w:left="0" w:leftChars="0" w:firstLine="420" w:firstLineChars="200"/>
        <w:textAlignment w:val="auto"/>
        <w:rPr>
          <w:rFonts w:hint="eastAsia" w:ascii="宋体" w:hAnsi="宋体" w:eastAsia="宋体" w:cs="宋体"/>
          <w:b w:val="0"/>
          <w:color w:val="auto"/>
          <w:sz w:val="21"/>
          <w:szCs w:val="21"/>
          <w:highlight w:val="none"/>
        </w:rPr>
      </w:pPr>
      <w:r>
        <w:rPr>
          <w:rFonts w:hint="eastAsia" w:ascii="宋体" w:hAnsi="宋体" w:eastAsia="宋体" w:cs="宋体"/>
          <w:color w:val="auto"/>
          <w:sz w:val="21"/>
          <w:szCs w:val="21"/>
          <w:highlight w:val="none"/>
        </w:rPr>
        <w:t>本次招标范围：见投标人须知前附表。</w:t>
      </w:r>
    </w:p>
    <w:p w14:paraId="4CC5D879">
      <w:pPr>
        <w:pStyle w:val="11"/>
        <w:keepNext w:val="0"/>
        <w:keepLines w:val="0"/>
        <w:pageBreakBefore w:val="0"/>
        <w:widowControl w:val="0"/>
        <w:numPr>
          <w:ilvl w:val="0"/>
          <w:numId w:val="8"/>
        </w:numPr>
        <w:tabs>
          <w:tab w:val="left" w:pos="1080"/>
          <w:tab w:val="clear" w:pos="210"/>
        </w:tabs>
        <w:kinsoku/>
        <w:wordWrap/>
        <w:overflowPunct/>
        <w:topLinePunct w:val="0"/>
        <w:autoSpaceDE/>
        <w:autoSpaceDN/>
        <w:bidi w:val="0"/>
        <w:adjustRightInd w:val="0"/>
        <w:snapToGrid w:val="0"/>
        <w:spacing w:after="0" w:line="460" w:lineRule="atLeast"/>
        <w:ind w:left="0" w:leftChars="0" w:firstLine="420" w:firstLineChars="200"/>
        <w:textAlignment w:val="auto"/>
        <w:rPr>
          <w:rFonts w:hint="eastAsia" w:ascii="宋体" w:hAnsi="宋体" w:eastAsia="宋体" w:cs="宋体"/>
          <w:b w:val="0"/>
          <w:color w:val="auto"/>
          <w:sz w:val="21"/>
          <w:szCs w:val="21"/>
          <w:highlight w:val="none"/>
        </w:rPr>
      </w:pPr>
      <w:r>
        <w:rPr>
          <w:rFonts w:hint="eastAsia" w:ascii="宋体" w:hAnsi="宋体" w:eastAsia="宋体" w:cs="宋体"/>
          <w:color w:val="auto"/>
          <w:sz w:val="21"/>
          <w:szCs w:val="21"/>
          <w:highlight w:val="none"/>
        </w:rPr>
        <w:t>本招标项目的服务期：见投标人须知前附表。</w:t>
      </w:r>
    </w:p>
    <w:p w14:paraId="7D13CC3C">
      <w:pPr>
        <w:pStyle w:val="11"/>
        <w:keepNext w:val="0"/>
        <w:keepLines w:val="0"/>
        <w:pageBreakBefore w:val="0"/>
        <w:widowControl w:val="0"/>
        <w:numPr>
          <w:ilvl w:val="0"/>
          <w:numId w:val="8"/>
        </w:numPr>
        <w:tabs>
          <w:tab w:val="left" w:pos="1080"/>
          <w:tab w:val="clear" w:pos="210"/>
        </w:tabs>
        <w:kinsoku/>
        <w:wordWrap/>
        <w:overflowPunct/>
        <w:topLinePunct w:val="0"/>
        <w:autoSpaceDE/>
        <w:autoSpaceDN/>
        <w:bidi w:val="0"/>
        <w:adjustRightInd w:val="0"/>
        <w:snapToGrid w:val="0"/>
        <w:spacing w:after="0" w:line="460" w:lineRule="atLeast"/>
        <w:ind w:left="0" w:leftChars="0" w:firstLine="420" w:firstLineChars="200"/>
        <w:textAlignment w:val="auto"/>
        <w:rPr>
          <w:rFonts w:hint="eastAsia" w:ascii="宋体" w:hAnsi="宋体" w:eastAsia="宋体" w:cs="宋体"/>
          <w:b w:val="0"/>
          <w:color w:val="auto"/>
          <w:sz w:val="21"/>
          <w:szCs w:val="21"/>
          <w:highlight w:val="none"/>
        </w:rPr>
      </w:pPr>
      <w:r>
        <w:rPr>
          <w:rFonts w:hint="eastAsia" w:ascii="宋体" w:hAnsi="宋体" w:eastAsia="宋体" w:cs="宋体"/>
          <w:color w:val="auto"/>
          <w:sz w:val="21"/>
          <w:szCs w:val="21"/>
          <w:highlight w:val="none"/>
        </w:rPr>
        <w:t>本招标项目的服务地点：见投标人须知前附表。</w:t>
      </w:r>
    </w:p>
    <w:p w14:paraId="507AC857">
      <w:pPr>
        <w:pStyle w:val="11"/>
        <w:keepNext w:val="0"/>
        <w:keepLines w:val="0"/>
        <w:pageBreakBefore w:val="0"/>
        <w:widowControl w:val="0"/>
        <w:numPr>
          <w:ilvl w:val="0"/>
          <w:numId w:val="8"/>
        </w:numPr>
        <w:tabs>
          <w:tab w:val="left" w:pos="1080"/>
          <w:tab w:val="clear" w:pos="210"/>
        </w:tabs>
        <w:kinsoku/>
        <w:wordWrap/>
        <w:overflowPunct/>
        <w:topLinePunct w:val="0"/>
        <w:autoSpaceDE/>
        <w:autoSpaceDN/>
        <w:bidi w:val="0"/>
        <w:adjustRightInd w:val="0"/>
        <w:snapToGrid w:val="0"/>
        <w:spacing w:after="0" w:line="460" w:lineRule="atLeast"/>
        <w:ind w:left="0" w:leftChars="0" w:firstLine="420" w:firstLineChars="200"/>
        <w:textAlignment w:val="auto"/>
        <w:rPr>
          <w:rFonts w:hint="eastAsia" w:ascii="宋体" w:hAnsi="宋体" w:eastAsia="宋体" w:cs="宋体"/>
          <w:b w:val="0"/>
          <w:color w:val="auto"/>
          <w:sz w:val="21"/>
          <w:szCs w:val="21"/>
          <w:highlight w:val="none"/>
        </w:rPr>
      </w:pPr>
      <w:r>
        <w:rPr>
          <w:rFonts w:hint="eastAsia" w:ascii="宋体" w:hAnsi="宋体" w:eastAsia="宋体" w:cs="宋体"/>
          <w:color w:val="auto"/>
          <w:sz w:val="21"/>
          <w:szCs w:val="21"/>
          <w:highlight w:val="none"/>
        </w:rPr>
        <w:t>本招标项目的质量要求及验收标准：见投标人须知前附表。</w:t>
      </w:r>
    </w:p>
    <w:p w14:paraId="60569916">
      <w:pPr>
        <w:pStyle w:val="3"/>
        <w:keepNext w:val="0"/>
        <w:keepLines w:val="0"/>
        <w:pageBreakBefore w:val="0"/>
        <w:widowControl w:val="0"/>
        <w:numPr>
          <w:ilvl w:val="0"/>
          <w:numId w:val="5"/>
        </w:numPr>
        <w:tabs>
          <w:tab w:val="left" w:pos="861"/>
          <w:tab w:val="clear" w:pos="210"/>
        </w:tabs>
        <w:kinsoku/>
        <w:wordWrap/>
        <w:overflowPunct/>
        <w:topLinePunct w:val="0"/>
        <w:autoSpaceDE/>
        <w:autoSpaceDN/>
        <w:bidi w:val="0"/>
        <w:adjustRightInd w:val="0"/>
        <w:snapToGrid w:val="0"/>
        <w:spacing w:after="0" w:line="460" w:lineRule="atLeast"/>
        <w:ind w:left="0" w:leftChars="0" w:firstLine="422" w:firstLineChars="200"/>
        <w:textAlignment w:val="auto"/>
        <w:rPr>
          <w:rFonts w:hint="eastAsia" w:ascii="宋体" w:hAnsi="宋体" w:eastAsia="宋体" w:cs="宋体"/>
          <w:b/>
          <w:color w:val="auto"/>
          <w:sz w:val="21"/>
          <w:szCs w:val="21"/>
          <w:highlight w:val="none"/>
        </w:rPr>
      </w:pPr>
      <w:r>
        <w:rPr>
          <w:rFonts w:hint="eastAsia" w:ascii="宋体" w:hAnsi="宋体" w:eastAsia="宋体" w:cs="宋体"/>
          <w:color w:val="auto"/>
          <w:sz w:val="21"/>
          <w:szCs w:val="21"/>
          <w:highlight w:val="none"/>
        </w:rPr>
        <w:t>投标人资格要求</w:t>
      </w:r>
    </w:p>
    <w:p w14:paraId="3142DBDF">
      <w:pPr>
        <w:pStyle w:val="11"/>
        <w:keepNext w:val="0"/>
        <w:keepLines w:val="0"/>
        <w:pageBreakBefore w:val="0"/>
        <w:widowControl w:val="0"/>
        <w:numPr>
          <w:ilvl w:val="0"/>
          <w:numId w:val="9"/>
        </w:numPr>
        <w:tabs>
          <w:tab w:val="left" w:pos="1080"/>
          <w:tab w:val="clear" w:pos="210"/>
        </w:tabs>
        <w:kinsoku/>
        <w:wordWrap/>
        <w:overflowPunct/>
        <w:topLinePunct w:val="0"/>
        <w:autoSpaceDE/>
        <w:autoSpaceDN/>
        <w:bidi w:val="0"/>
        <w:adjustRightInd w:val="0"/>
        <w:snapToGrid w:val="0"/>
        <w:spacing w:after="0" w:line="460" w:lineRule="atLeast"/>
        <w:ind w:left="0" w:leftChars="0" w:firstLine="420" w:firstLineChars="200"/>
        <w:textAlignment w:val="auto"/>
        <w:rPr>
          <w:rFonts w:hint="eastAsia" w:ascii="宋体" w:hAnsi="宋体" w:eastAsia="宋体" w:cs="宋体"/>
          <w:b w:val="0"/>
          <w:color w:val="auto"/>
          <w:sz w:val="21"/>
          <w:szCs w:val="21"/>
          <w:highlight w:val="none"/>
        </w:rPr>
      </w:pPr>
      <w:r>
        <w:rPr>
          <w:rFonts w:hint="eastAsia" w:ascii="宋体" w:hAnsi="宋体" w:eastAsia="宋体" w:cs="宋体"/>
          <w:color w:val="auto"/>
          <w:sz w:val="21"/>
          <w:szCs w:val="21"/>
          <w:highlight w:val="none"/>
        </w:rPr>
        <w:t>投标人应具备的资格要求见投标人须知前附表。</w:t>
      </w:r>
    </w:p>
    <w:p w14:paraId="1A3126D3">
      <w:pPr>
        <w:pStyle w:val="11"/>
        <w:keepNext w:val="0"/>
        <w:keepLines w:val="0"/>
        <w:pageBreakBefore w:val="0"/>
        <w:widowControl w:val="0"/>
        <w:numPr>
          <w:ilvl w:val="0"/>
          <w:numId w:val="9"/>
        </w:numPr>
        <w:tabs>
          <w:tab w:val="left" w:pos="1080"/>
          <w:tab w:val="clear" w:pos="210"/>
        </w:tabs>
        <w:kinsoku/>
        <w:wordWrap/>
        <w:overflowPunct/>
        <w:topLinePunct w:val="0"/>
        <w:autoSpaceDE/>
        <w:autoSpaceDN/>
        <w:bidi w:val="0"/>
        <w:adjustRightInd w:val="0"/>
        <w:snapToGrid w:val="0"/>
        <w:spacing w:after="0" w:line="460" w:lineRule="atLeast"/>
        <w:ind w:left="0" w:leftChars="0" w:firstLine="420" w:firstLineChars="200"/>
        <w:textAlignment w:val="auto"/>
        <w:rPr>
          <w:rFonts w:hint="eastAsia" w:ascii="宋体" w:hAnsi="宋体" w:eastAsia="宋体" w:cs="宋体"/>
          <w:b w:val="0"/>
          <w:color w:val="auto"/>
          <w:sz w:val="21"/>
          <w:szCs w:val="21"/>
          <w:highlight w:val="none"/>
        </w:rPr>
      </w:pPr>
      <w:r>
        <w:rPr>
          <w:rFonts w:hint="eastAsia" w:ascii="宋体" w:hAnsi="宋体" w:eastAsia="宋体" w:cs="宋体"/>
          <w:color w:val="auto"/>
          <w:sz w:val="21"/>
          <w:szCs w:val="21"/>
          <w:highlight w:val="none"/>
        </w:rPr>
        <w:t>本次招标不接受联合体投标。</w:t>
      </w:r>
    </w:p>
    <w:p w14:paraId="347A47E9">
      <w:pPr>
        <w:pStyle w:val="11"/>
        <w:keepNext w:val="0"/>
        <w:keepLines w:val="0"/>
        <w:pageBreakBefore w:val="0"/>
        <w:widowControl w:val="0"/>
        <w:numPr>
          <w:ilvl w:val="0"/>
          <w:numId w:val="9"/>
        </w:numPr>
        <w:tabs>
          <w:tab w:val="left" w:pos="1080"/>
          <w:tab w:val="clear" w:pos="210"/>
        </w:tabs>
        <w:kinsoku/>
        <w:wordWrap/>
        <w:overflowPunct/>
        <w:topLinePunct w:val="0"/>
        <w:autoSpaceDE/>
        <w:autoSpaceDN/>
        <w:bidi w:val="0"/>
        <w:adjustRightInd w:val="0"/>
        <w:snapToGrid w:val="0"/>
        <w:spacing w:after="0" w:line="460" w:lineRule="atLeast"/>
        <w:ind w:left="0" w:leftChars="0" w:firstLine="420" w:firstLineChars="200"/>
        <w:textAlignment w:val="auto"/>
        <w:rPr>
          <w:rFonts w:hint="eastAsia" w:ascii="宋体" w:hAnsi="宋体" w:eastAsia="宋体" w:cs="宋体"/>
          <w:b w:val="0"/>
          <w:color w:val="auto"/>
          <w:sz w:val="21"/>
          <w:szCs w:val="21"/>
          <w:highlight w:val="none"/>
        </w:rPr>
      </w:pPr>
      <w:r>
        <w:rPr>
          <w:rFonts w:hint="eastAsia" w:ascii="宋体" w:hAnsi="宋体" w:eastAsia="宋体" w:cs="宋体"/>
          <w:color w:val="auto"/>
          <w:sz w:val="21"/>
          <w:szCs w:val="21"/>
          <w:highlight w:val="none"/>
        </w:rPr>
        <w:t>投标人不得存在下列情形之一：</w:t>
      </w:r>
    </w:p>
    <w:p w14:paraId="2B2964DD">
      <w:pPr>
        <w:pStyle w:val="11"/>
        <w:keepNext w:val="0"/>
        <w:keepLines w:val="0"/>
        <w:pageBreakBefore w:val="0"/>
        <w:widowControl w:val="0"/>
        <w:numPr>
          <w:ilvl w:val="0"/>
          <w:numId w:val="10"/>
        </w:numPr>
        <w:tabs>
          <w:tab w:val="left" w:pos="1080"/>
        </w:tabs>
        <w:kinsoku/>
        <w:wordWrap/>
        <w:overflowPunct/>
        <w:topLinePunct w:val="0"/>
        <w:autoSpaceDE/>
        <w:autoSpaceDN/>
        <w:bidi w:val="0"/>
        <w:adjustRightInd w:val="0"/>
        <w:snapToGrid w:val="0"/>
        <w:spacing w:after="0" w:line="460" w:lineRule="atLeast"/>
        <w:ind w:left="0" w:leftChars="0" w:firstLine="420" w:firstLineChars="200"/>
        <w:textAlignment w:val="auto"/>
        <w:rPr>
          <w:rFonts w:hint="eastAsia" w:ascii="宋体" w:hAnsi="宋体" w:eastAsia="宋体" w:cs="宋体"/>
          <w:b w:val="0"/>
          <w:color w:val="auto"/>
          <w:sz w:val="21"/>
          <w:szCs w:val="21"/>
          <w:highlight w:val="none"/>
        </w:rPr>
      </w:pPr>
      <w:r>
        <w:rPr>
          <w:rFonts w:hint="eastAsia" w:ascii="宋体" w:hAnsi="宋体" w:eastAsia="宋体" w:cs="宋体"/>
          <w:color w:val="auto"/>
          <w:sz w:val="21"/>
          <w:szCs w:val="21"/>
          <w:highlight w:val="none"/>
        </w:rPr>
        <w:t>与招标人存在利害关系且可能影响招标公正性；</w:t>
      </w:r>
    </w:p>
    <w:p w14:paraId="2182E850">
      <w:pPr>
        <w:pStyle w:val="11"/>
        <w:keepNext w:val="0"/>
        <w:keepLines w:val="0"/>
        <w:pageBreakBefore w:val="0"/>
        <w:widowControl w:val="0"/>
        <w:numPr>
          <w:ilvl w:val="0"/>
          <w:numId w:val="10"/>
        </w:numPr>
        <w:tabs>
          <w:tab w:val="left" w:pos="1080"/>
        </w:tabs>
        <w:kinsoku/>
        <w:wordWrap/>
        <w:overflowPunct/>
        <w:topLinePunct w:val="0"/>
        <w:autoSpaceDE/>
        <w:autoSpaceDN/>
        <w:bidi w:val="0"/>
        <w:adjustRightInd w:val="0"/>
        <w:snapToGrid w:val="0"/>
        <w:spacing w:after="0" w:line="460" w:lineRule="atLeast"/>
        <w:ind w:left="0" w:leftChars="0" w:firstLine="420" w:firstLineChars="200"/>
        <w:textAlignment w:val="auto"/>
        <w:rPr>
          <w:rFonts w:hint="eastAsia" w:ascii="宋体" w:hAnsi="宋体" w:eastAsia="宋体" w:cs="宋体"/>
          <w:b w:val="0"/>
          <w:color w:val="auto"/>
          <w:sz w:val="21"/>
          <w:szCs w:val="21"/>
          <w:highlight w:val="none"/>
        </w:rPr>
      </w:pPr>
      <w:r>
        <w:rPr>
          <w:rFonts w:hint="eastAsia" w:ascii="宋体" w:hAnsi="宋体" w:eastAsia="宋体" w:cs="宋体"/>
          <w:color w:val="auto"/>
          <w:sz w:val="21"/>
          <w:szCs w:val="21"/>
          <w:highlight w:val="none"/>
        </w:rPr>
        <w:t>与本招标项目的其他投标人为同一个单位负责人；</w:t>
      </w:r>
    </w:p>
    <w:p w14:paraId="65EEE78B">
      <w:pPr>
        <w:pStyle w:val="11"/>
        <w:keepNext w:val="0"/>
        <w:keepLines w:val="0"/>
        <w:pageBreakBefore w:val="0"/>
        <w:widowControl w:val="0"/>
        <w:numPr>
          <w:ilvl w:val="0"/>
          <w:numId w:val="10"/>
        </w:numPr>
        <w:tabs>
          <w:tab w:val="left" w:pos="1080"/>
        </w:tabs>
        <w:kinsoku/>
        <w:wordWrap/>
        <w:overflowPunct/>
        <w:topLinePunct w:val="0"/>
        <w:autoSpaceDE/>
        <w:autoSpaceDN/>
        <w:bidi w:val="0"/>
        <w:adjustRightInd w:val="0"/>
        <w:snapToGrid w:val="0"/>
        <w:spacing w:after="0" w:line="460" w:lineRule="atLeast"/>
        <w:ind w:left="0" w:leftChars="0" w:firstLine="420" w:firstLineChars="200"/>
        <w:textAlignment w:val="auto"/>
        <w:rPr>
          <w:rFonts w:hint="eastAsia" w:ascii="宋体" w:hAnsi="宋体" w:eastAsia="宋体" w:cs="宋体"/>
          <w:b w:val="0"/>
          <w:color w:val="auto"/>
          <w:sz w:val="21"/>
          <w:szCs w:val="21"/>
          <w:highlight w:val="none"/>
        </w:rPr>
      </w:pPr>
      <w:r>
        <w:rPr>
          <w:rFonts w:hint="eastAsia" w:ascii="宋体" w:hAnsi="宋体" w:eastAsia="宋体" w:cs="宋体"/>
          <w:color w:val="auto"/>
          <w:sz w:val="21"/>
          <w:szCs w:val="21"/>
          <w:highlight w:val="none"/>
        </w:rPr>
        <w:t>与本招标项目的其他投标人存在控股、管理关系；</w:t>
      </w:r>
    </w:p>
    <w:p w14:paraId="375F6299">
      <w:pPr>
        <w:pStyle w:val="11"/>
        <w:keepNext w:val="0"/>
        <w:keepLines w:val="0"/>
        <w:pageBreakBefore w:val="0"/>
        <w:widowControl w:val="0"/>
        <w:numPr>
          <w:ilvl w:val="0"/>
          <w:numId w:val="10"/>
        </w:numPr>
        <w:tabs>
          <w:tab w:val="left" w:pos="1080"/>
        </w:tabs>
        <w:kinsoku/>
        <w:wordWrap/>
        <w:overflowPunct/>
        <w:topLinePunct w:val="0"/>
        <w:autoSpaceDE/>
        <w:autoSpaceDN/>
        <w:bidi w:val="0"/>
        <w:adjustRightInd w:val="0"/>
        <w:snapToGrid w:val="0"/>
        <w:spacing w:after="0" w:line="460" w:lineRule="atLeast"/>
        <w:ind w:left="0" w:leftChars="0" w:firstLine="420" w:firstLineChars="200"/>
        <w:textAlignment w:val="auto"/>
        <w:rPr>
          <w:rFonts w:hint="eastAsia" w:ascii="宋体" w:hAnsi="宋体" w:eastAsia="宋体" w:cs="宋体"/>
          <w:b w:val="0"/>
          <w:color w:val="auto"/>
          <w:sz w:val="21"/>
          <w:szCs w:val="21"/>
          <w:highlight w:val="none"/>
        </w:rPr>
      </w:pPr>
      <w:r>
        <w:rPr>
          <w:rFonts w:hint="eastAsia" w:ascii="宋体" w:hAnsi="宋体" w:eastAsia="宋体" w:cs="宋体"/>
          <w:color w:val="auto"/>
          <w:sz w:val="21"/>
          <w:szCs w:val="21"/>
          <w:highlight w:val="none"/>
        </w:rPr>
        <w:t>为本招标项目提供设计服务；</w:t>
      </w:r>
    </w:p>
    <w:p w14:paraId="47ECCCC3">
      <w:pPr>
        <w:pStyle w:val="11"/>
        <w:keepNext w:val="0"/>
        <w:keepLines w:val="0"/>
        <w:pageBreakBefore w:val="0"/>
        <w:widowControl w:val="0"/>
        <w:numPr>
          <w:ilvl w:val="0"/>
          <w:numId w:val="10"/>
        </w:numPr>
        <w:tabs>
          <w:tab w:val="left" w:pos="1080"/>
        </w:tabs>
        <w:kinsoku/>
        <w:wordWrap/>
        <w:overflowPunct/>
        <w:topLinePunct w:val="0"/>
        <w:autoSpaceDE/>
        <w:autoSpaceDN/>
        <w:bidi w:val="0"/>
        <w:adjustRightInd w:val="0"/>
        <w:snapToGrid w:val="0"/>
        <w:spacing w:after="0" w:line="460" w:lineRule="atLeast"/>
        <w:ind w:left="0" w:leftChars="0" w:firstLine="420" w:firstLineChars="200"/>
        <w:textAlignment w:val="auto"/>
        <w:rPr>
          <w:rFonts w:hint="eastAsia" w:ascii="宋体" w:hAnsi="宋体" w:eastAsia="宋体" w:cs="宋体"/>
          <w:b w:val="0"/>
          <w:color w:val="auto"/>
          <w:sz w:val="21"/>
          <w:szCs w:val="21"/>
          <w:highlight w:val="none"/>
        </w:rPr>
      </w:pPr>
      <w:r>
        <w:rPr>
          <w:rFonts w:hint="eastAsia" w:ascii="宋体" w:hAnsi="宋体" w:eastAsia="宋体" w:cs="宋体"/>
          <w:color w:val="auto"/>
          <w:sz w:val="21"/>
          <w:szCs w:val="21"/>
          <w:highlight w:val="none"/>
        </w:rPr>
        <w:t>为本工程项目的相关监理人，或者与本工程项目的相关监理人存在隶属关系或者其他利害关系；</w:t>
      </w:r>
    </w:p>
    <w:p w14:paraId="5A3BA961">
      <w:pPr>
        <w:pStyle w:val="11"/>
        <w:keepNext w:val="0"/>
        <w:keepLines w:val="0"/>
        <w:pageBreakBefore w:val="0"/>
        <w:widowControl w:val="0"/>
        <w:numPr>
          <w:ilvl w:val="0"/>
          <w:numId w:val="10"/>
        </w:numPr>
        <w:tabs>
          <w:tab w:val="left" w:pos="1080"/>
        </w:tabs>
        <w:kinsoku/>
        <w:wordWrap/>
        <w:overflowPunct/>
        <w:topLinePunct w:val="0"/>
        <w:autoSpaceDE/>
        <w:autoSpaceDN/>
        <w:bidi w:val="0"/>
        <w:adjustRightInd w:val="0"/>
        <w:snapToGrid w:val="0"/>
        <w:spacing w:after="0" w:line="460" w:lineRule="atLeast"/>
        <w:ind w:left="0" w:leftChars="0" w:firstLine="420" w:firstLineChars="200"/>
        <w:textAlignment w:val="auto"/>
        <w:rPr>
          <w:rFonts w:hint="eastAsia" w:ascii="宋体" w:hAnsi="宋体" w:eastAsia="宋体" w:cs="宋体"/>
          <w:b w:val="0"/>
          <w:color w:val="auto"/>
          <w:sz w:val="21"/>
          <w:szCs w:val="21"/>
          <w:highlight w:val="none"/>
        </w:rPr>
      </w:pPr>
      <w:r>
        <w:rPr>
          <w:rFonts w:hint="eastAsia" w:ascii="宋体" w:hAnsi="宋体" w:eastAsia="宋体" w:cs="宋体"/>
          <w:color w:val="auto"/>
          <w:sz w:val="21"/>
          <w:szCs w:val="21"/>
          <w:highlight w:val="none"/>
        </w:rPr>
        <w:t>为本招标项目的代建人；</w:t>
      </w:r>
    </w:p>
    <w:p w14:paraId="67BB2DB2">
      <w:pPr>
        <w:pStyle w:val="11"/>
        <w:keepNext w:val="0"/>
        <w:keepLines w:val="0"/>
        <w:pageBreakBefore w:val="0"/>
        <w:widowControl w:val="0"/>
        <w:numPr>
          <w:ilvl w:val="0"/>
          <w:numId w:val="10"/>
        </w:numPr>
        <w:tabs>
          <w:tab w:val="left" w:pos="1080"/>
        </w:tabs>
        <w:kinsoku/>
        <w:wordWrap/>
        <w:overflowPunct/>
        <w:topLinePunct w:val="0"/>
        <w:autoSpaceDE/>
        <w:autoSpaceDN/>
        <w:bidi w:val="0"/>
        <w:adjustRightInd w:val="0"/>
        <w:snapToGrid w:val="0"/>
        <w:spacing w:after="0" w:line="460" w:lineRule="atLeast"/>
        <w:ind w:left="0" w:leftChars="0" w:firstLine="420" w:firstLineChars="200"/>
        <w:textAlignment w:val="auto"/>
        <w:rPr>
          <w:rFonts w:hint="eastAsia" w:ascii="宋体" w:hAnsi="宋体" w:eastAsia="宋体" w:cs="宋体"/>
          <w:b w:val="0"/>
          <w:color w:val="auto"/>
          <w:sz w:val="21"/>
          <w:szCs w:val="21"/>
          <w:highlight w:val="none"/>
        </w:rPr>
      </w:pPr>
      <w:r>
        <w:rPr>
          <w:rFonts w:hint="eastAsia" w:ascii="宋体" w:hAnsi="宋体" w:eastAsia="宋体" w:cs="宋体"/>
          <w:color w:val="auto"/>
          <w:sz w:val="21"/>
          <w:szCs w:val="21"/>
          <w:highlight w:val="none"/>
        </w:rPr>
        <w:t>为本招标项目的招标代理机构；</w:t>
      </w:r>
    </w:p>
    <w:p w14:paraId="234BF9C3">
      <w:pPr>
        <w:pStyle w:val="11"/>
        <w:keepNext w:val="0"/>
        <w:keepLines w:val="0"/>
        <w:pageBreakBefore w:val="0"/>
        <w:widowControl w:val="0"/>
        <w:numPr>
          <w:ilvl w:val="0"/>
          <w:numId w:val="10"/>
        </w:numPr>
        <w:tabs>
          <w:tab w:val="left" w:pos="1080"/>
        </w:tabs>
        <w:kinsoku/>
        <w:wordWrap/>
        <w:overflowPunct/>
        <w:topLinePunct w:val="0"/>
        <w:autoSpaceDE/>
        <w:autoSpaceDN/>
        <w:bidi w:val="0"/>
        <w:adjustRightInd w:val="0"/>
        <w:snapToGrid w:val="0"/>
        <w:spacing w:after="0" w:line="460" w:lineRule="atLeast"/>
        <w:ind w:left="0" w:leftChars="0" w:firstLine="420" w:firstLineChars="200"/>
        <w:textAlignment w:val="auto"/>
        <w:rPr>
          <w:rFonts w:hint="eastAsia" w:ascii="宋体" w:hAnsi="宋体" w:eastAsia="宋体" w:cs="宋体"/>
          <w:b w:val="0"/>
          <w:color w:val="auto"/>
          <w:sz w:val="21"/>
          <w:szCs w:val="21"/>
          <w:highlight w:val="none"/>
        </w:rPr>
      </w:pPr>
      <w:r>
        <w:rPr>
          <w:rFonts w:hint="eastAsia" w:ascii="宋体" w:hAnsi="宋体" w:eastAsia="宋体" w:cs="宋体"/>
          <w:color w:val="auto"/>
          <w:sz w:val="21"/>
          <w:szCs w:val="21"/>
          <w:highlight w:val="none"/>
        </w:rPr>
        <w:t>与本招标项目的监理人或代建人或招标代理机构同为一个法定代表人；</w:t>
      </w:r>
    </w:p>
    <w:p w14:paraId="572E7C35">
      <w:pPr>
        <w:pStyle w:val="11"/>
        <w:keepNext w:val="0"/>
        <w:keepLines w:val="0"/>
        <w:pageBreakBefore w:val="0"/>
        <w:widowControl w:val="0"/>
        <w:numPr>
          <w:ilvl w:val="0"/>
          <w:numId w:val="10"/>
        </w:numPr>
        <w:tabs>
          <w:tab w:val="left" w:pos="1080"/>
        </w:tabs>
        <w:kinsoku/>
        <w:wordWrap/>
        <w:overflowPunct/>
        <w:topLinePunct w:val="0"/>
        <w:autoSpaceDE/>
        <w:autoSpaceDN/>
        <w:bidi w:val="0"/>
        <w:adjustRightInd w:val="0"/>
        <w:snapToGrid w:val="0"/>
        <w:spacing w:after="0" w:line="460" w:lineRule="atLeast"/>
        <w:ind w:left="0" w:leftChars="0" w:firstLine="420" w:firstLineChars="200"/>
        <w:textAlignment w:val="auto"/>
        <w:rPr>
          <w:rFonts w:hint="eastAsia" w:ascii="宋体" w:hAnsi="宋体" w:eastAsia="宋体" w:cs="宋体"/>
          <w:b w:val="0"/>
          <w:color w:val="auto"/>
          <w:sz w:val="21"/>
          <w:szCs w:val="21"/>
          <w:highlight w:val="none"/>
        </w:rPr>
      </w:pPr>
      <w:r>
        <w:rPr>
          <w:rFonts w:hint="eastAsia" w:ascii="宋体" w:hAnsi="宋体" w:eastAsia="宋体" w:cs="宋体"/>
          <w:color w:val="auto"/>
          <w:sz w:val="21"/>
          <w:szCs w:val="21"/>
          <w:highlight w:val="none"/>
        </w:rPr>
        <w:t>与本招标项目的监理人或代建人或招标代理机构存在控股或参股关系；</w:t>
      </w:r>
    </w:p>
    <w:p w14:paraId="03EF9780">
      <w:pPr>
        <w:pStyle w:val="11"/>
        <w:keepNext w:val="0"/>
        <w:keepLines w:val="0"/>
        <w:pageBreakBefore w:val="0"/>
        <w:widowControl w:val="0"/>
        <w:numPr>
          <w:ilvl w:val="0"/>
          <w:numId w:val="10"/>
        </w:numPr>
        <w:tabs>
          <w:tab w:val="left" w:pos="1080"/>
        </w:tabs>
        <w:kinsoku/>
        <w:wordWrap/>
        <w:overflowPunct/>
        <w:topLinePunct w:val="0"/>
        <w:autoSpaceDE/>
        <w:autoSpaceDN/>
        <w:bidi w:val="0"/>
        <w:adjustRightInd w:val="0"/>
        <w:snapToGrid w:val="0"/>
        <w:spacing w:after="0" w:line="460" w:lineRule="atLeast"/>
        <w:ind w:left="0" w:leftChars="0" w:firstLine="420" w:firstLineChars="200"/>
        <w:textAlignment w:val="auto"/>
        <w:rPr>
          <w:rFonts w:hint="eastAsia" w:ascii="宋体" w:hAnsi="宋体" w:eastAsia="宋体" w:cs="宋体"/>
          <w:b w:val="0"/>
          <w:color w:val="auto"/>
          <w:sz w:val="21"/>
          <w:szCs w:val="21"/>
          <w:highlight w:val="none"/>
        </w:rPr>
      </w:pPr>
      <w:r>
        <w:rPr>
          <w:rFonts w:hint="eastAsia" w:ascii="宋体" w:hAnsi="宋体" w:eastAsia="宋体" w:cs="宋体"/>
          <w:color w:val="auto"/>
          <w:sz w:val="21"/>
          <w:szCs w:val="21"/>
          <w:highlight w:val="none"/>
        </w:rPr>
        <w:t>被依法暂停或者取消投标资格；</w:t>
      </w:r>
    </w:p>
    <w:p w14:paraId="303857BE">
      <w:pPr>
        <w:pStyle w:val="11"/>
        <w:keepNext w:val="0"/>
        <w:keepLines w:val="0"/>
        <w:pageBreakBefore w:val="0"/>
        <w:widowControl w:val="0"/>
        <w:numPr>
          <w:ilvl w:val="0"/>
          <w:numId w:val="10"/>
        </w:numPr>
        <w:tabs>
          <w:tab w:val="left" w:pos="1080"/>
        </w:tabs>
        <w:kinsoku/>
        <w:wordWrap/>
        <w:overflowPunct/>
        <w:topLinePunct w:val="0"/>
        <w:autoSpaceDE/>
        <w:autoSpaceDN/>
        <w:bidi w:val="0"/>
        <w:adjustRightInd w:val="0"/>
        <w:snapToGrid w:val="0"/>
        <w:spacing w:after="0" w:line="460" w:lineRule="atLeast"/>
        <w:ind w:left="0" w:leftChars="0" w:firstLine="420" w:firstLineChars="200"/>
        <w:textAlignment w:val="auto"/>
        <w:rPr>
          <w:rFonts w:hint="eastAsia" w:ascii="宋体" w:hAnsi="宋体" w:eastAsia="宋体" w:cs="宋体"/>
          <w:b w:val="0"/>
          <w:color w:val="auto"/>
          <w:sz w:val="21"/>
          <w:szCs w:val="21"/>
          <w:highlight w:val="none"/>
        </w:rPr>
      </w:pPr>
      <w:r>
        <w:rPr>
          <w:rFonts w:hint="eastAsia" w:ascii="宋体" w:hAnsi="宋体" w:eastAsia="宋体" w:cs="宋体"/>
          <w:color w:val="auto"/>
          <w:sz w:val="21"/>
          <w:szCs w:val="21"/>
          <w:highlight w:val="none"/>
        </w:rPr>
        <w:t>被责令停产停业、暂扣或者吊销许可证、暂扣或者吊销执照；</w:t>
      </w:r>
    </w:p>
    <w:p w14:paraId="3A506D1A">
      <w:pPr>
        <w:pStyle w:val="11"/>
        <w:keepNext w:val="0"/>
        <w:keepLines w:val="0"/>
        <w:pageBreakBefore w:val="0"/>
        <w:widowControl w:val="0"/>
        <w:numPr>
          <w:ilvl w:val="0"/>
          <w:numId w:val="10"/>
        </w:numPr>
        <w:tabs>
          <w:tab w:val="left" w:pos="1080"/>
        </w:tabs>
        <w:kinsoku/>
        <w:wordWrap/>
        <w:overflowPunct/>
        <w:topLinePunct w:val="0"/>
        <w:autoSpaceDE/>
        <w:autoSpaceDN/>
        <w:bidi w:val="0"/>
        <w:adjustRightInd w:val="0"/>
        <w:snapToGrid w:val="0"/>
        <w:spacing w:after="0" w:line="460" w:lineRule="atLeast"/>
        <w:ind w:left="0" w:leftChars="0" w:firstLine="420" w:firstLineChars="200"/>
        <w:textAlignment w:val="auto"/>
        <w:rPr>
          <w:rFonts w:hint="eastAsia" w:ascii="宋体" w:hAnsi="宋体" w:eastAsia="宋体" w:cs="宋体"/>
          <w:b w:val="0"/>
          <w:color w:val="auto"/>
          <w:sz w:val="21"/>
          <w:szCs w:val="21"/>
          <w:highlight w:val="none"/>
        </w:rPr>
      </w:pPr>
      <w:r>
        <w:rPr>
          <w:rFonts w:hint="eastAsia" w:ascii="宋体" w:hAnsi="宋体" w:eastAsia="宋体" w:cs="宋体"/>
          <w:color w:val="auto"/>
          <w:sz w:val="21"/>
          <w:szCs w:val="21"/>
          <w:highlight w:val="none"/>
        </w:rPr>
        <w:t>进入清算程序，或被宣告破产，或其他丧失履约能力的情形；</w:t>
      </w:r>
    </w:p>
    <w:p w14:paraId="1E1BF39F">
      <w:pPr>
        <w:pStyle w:val="11"/>
        <w:keepNext w:val="0"/>
        <w:keepLines w:val="0"/>
        <w:pageBreakBefore w:val="0"/>
        <w:widowControl w:val="0"/>
        <w:numPr>
          <w:ilvl w:val="0"/>
          <w:numId w:val="10"/>
        </w:numPr>
        <w:tabs>
          <w:tab w:val="left" w:pos="1080"/>
        </w:tabs>
        <w:kinsoku/>
        <w:wordWrap/>
        <w:overflowPunct/>
        <w:topLinePunct w:val="0"/>
        <w:autoSpaceDE/>
        <w:autoSpaceDN/>
        <w:bidi w:val="0"/>
        <w:adjustRightInd w:val="0"/>
        <w:snapToGrid w:val="0"/>
        <w:spacing w:after="0" w:line="460" w:lineRule="atLeast"/>
        <w:ind w:left="0" w:leftChars="0" w:firstLine="420" w:firstLineChars="200"/>
        <w:textAlignment w:val="auto"/>
        <w:rPr>
          <w:rFonts w:hint="eastAsia" w:ascii="宋体" w:hAnsi="宋体" w:eastAsia="宋体" w:cs="宋体"/>
          <w:b w:val="0"/>
          <w:color w:val="auto"/>
          <w:sz w:val="21"/>
          <w:szCs w:val="21"/>
          <w:highlight w:val="none"/>
        </w:rPr>
      </w:pPr>
      <w:r>
        <w:rPr>
          <w:rFonts w:hint="eastAsia" w:ascii="宋体" w:hAnsi="宋体" w:eastAsia="宋体" w:cs="宋体"/>
          <w:color w:val="auto"/>
          <w:sz w:val="21"/>
          <w:szCs w:val="21"/>
          <w:highlight w:val="none"/>
        </w:rPr>
        <w:t>法律法规或投标人须知前附表规定的其他情形。</w:t>
      </w:r>
    </w:p>
    <w:p w14:paraId="22703929">
      <w:pPr>
        <w:pStyle w:val="3"/>
        <w:keepNext w:val="0"/>
        <w:keepLines w:val="0"/>
        <w:pageBreakBefore w:val="0"/>
        <w:widowControl w:val="0"/>
        <w:numPr>
          <w:ilvl w:val="0"/>
          <w:numId w:val="5"/>
        </w:numPr>
        <w:tabs>
          <w:tab w:val="left" w:pos="861"/>
          <w:tab w:val="clear" w:pos="210"/>
        </w:tabs>
        <w:kinsoku/>
        <w:wordWrap/>
        <w:overflowPunct/>
        <w:topLinePunct w:val="0"/>
        <w:autoSpaceDE/>
        <w:autoSpaceDN/>
        <w:bidi w:val="0"/>
        <w:adjustRightInd w:val="0"/>
        <w:snapToGrid w:val="0"/>
        <w:spacing w:after="0" w:line="460" w:lineRule="atLeast"/>
        <w:ind w:left="0" w:leftChars="0" w:firstLine="422" w:firstLineChars="200"/>
        <w:textAlignment w:val="auto"/>
        <w:rPr>
          <w:rFonts w:hint="eastAsia" w:ascii="宋体" w:hAnsi="宋体" w:eastAsia="宋体" w:cs="宋体"/>
          <w:b/>
          <w:color w:val="auto"/>
          <w:sz w:val="21"/>
          <w:szCs w:val="21"/>
          <w:highlight w:val="none"/>
        </w:rPr>
      </w:pPr>
      <w:r>
        <w:rPr>
          <w:rFonts w:hint="eastAsia" w:ascii="宋体" w:hAnsi="宋体" w:eastAsia="宋体" w:cs="宋体"/>
          <w:color w:val="auto"/>
          <w:sz w:val="21"/>
          <w:szCs w:val="21"/>
          <w:highlight w:val="none"/>
        </w:rPr>
        <w:t>费用承担</w:t>
      </w:r>
    </w:p>
    <w:p w14:paraId="0957128A">
      <w:pPr>
        <w:pStyle w:val="11"/>
        <w:keepNext w:val="0"/>
        <w:keepLines w:val="0"/>
        <w:pageBreakBefore w:val="0"/>
        <w:widowControl w:val="0"/>
        <w:kinsoku/>
        <w:wordWrap/>
        <w:overflowPunct/>
        <w:topLinePunct w:val="0"/>
        <w:autoSpaceDE/>
        <w:autoSpaceDN/>
        <w:bidi w:val="0"/>
        <w:adjustRightInd w:val="0"/>
        <w:snapToGrid w:val="0"/>
        <w:spacing w:after="0" w:line="460" w:lineRule="atLeast"/>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投标人准备和参加投标活动发生的费用自理。</w:t>
      </w:r>
    </w:p>
    <w:p w14:paraId="59568C59">
      <w:pPr>
        <w:pStyle w:val="3"/>
        <w:keepNext w:val="0"/>
        <w:keepLines w:val="0"/>
        <w:pageBreakBefore w:val="0"/>
        <w:widowControl w:val="0"/>
        <w:numPr>
          <w:ilvl w:val="0"/>
          <w:numId w:val="5"/>
        </w:numPr>
        <w:tabs>
          <w:tab w:val="left" w:pos="861"/>
          <w:tab w:val="clear" w:pos="210"/>
        </w:tabs>
        <w:kinsoku/>
        <w:wordWrap/>
        <w:overflowPunct/>
        <w:topLinePunct w:val="0"/>
        <w:autoSpaceDE/>
        <w:autoSpaceDN/>
        <w:bidi w:val="0"/>
        <w:adjustRightInd w:val="0"/>
        <w:snapToGrid w:val="0"/>
        <w:spacing w:after="0" w:line="460" w:lineRule="atLeast"/>
        <w:ind w:left="0" w:leftChars="0" w:firstLine="422" w:firstLineChars="200"/>
        <w:textAlignment w:val="auto"/>
        <w:rPr>
          <w:rFonts w:hint="eastAsia" w:ascii="宋体" w:hAnsi="宋体" w:eastAsia="宋体" w:cs="宋体"/>
          <w:b/>
          <w:color w:val="auto"/>
          <w:sz w:val="21"/>
          <w:szCs w:val="21"/>
          <w:highlight w:val="none"/>
        </w:rPr>
      </w:pPr>
      <w:r>
        <w:rPr>
          <w:rFonts w:hint="eastAsia" w:ascii="宋体" w:hAnsi="宋体" w:eastAsia="宋体" w:cs="宋体"/>
          <w:color w:val="auto"/>
          <w:sz w:val="21"/>
          <w:szCs w:val="21"/>
          <w:highlight w:val="none"/>
        </w:rPr>
        <w:t>保密</w:t>
      </w:r>
    </w:p>
    <w:p w14:paraId="199408C5">
      <w:pPr>
        <w:pStyle w:val="11"/>
        <w:keepNext w:val="0"/>
        <w:keepLines w:val="0"/>
        <w:pageBreakBefore w:val="0"/>
        <w:widowControl w:val="0"/>
        <w:kinsoku/>
        <w:wordWrap/>
        <w:overflowPunct/>
        <w:topLinePunct w:val="0"/>
        <w:autoSpaceDE/>
        <w:autoSpaceDN/>
        <w:bidi w:val="0"/>
        <w:adjustRightInd w:val="0"/>
        <w:snapToGrid w:val="0"/>
        <w:spacing w:after="0" w:line="460" w:lineRule="atLeast"/>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参与招标投标活动的各方应对招标文件和投标文件中的商业和技术等秘密保密，违者应对由此造成的后果承担法律责任。</w:t>
      </w:r>
    </w:p>
    <w:p w14:paraId="0556D049">
      <w:pPr>
        <w:pStyle w:val="3"/>
        <w:keepNext w:val="0"/>
        <w:keepLines w:val="0"/>
        <w:pageBreakBefore w:val="0"/>
        <w:widowControl w:val="0"/>
        <w:numPr>
          <w:ilvl w:val="0"/>
          <w:numId w:val="5"/>
        </w:numPr>
        <w:tabs>
          <w:tab w:val="left" w:pos="861"/>
          <w:tab w:val="clear" w:pos="210"/>
        </w:tabs>
        <w:kinsoku/>
        <w:wordWrap/>
        <w:overflowPunct/>
        <w:topLinePunct w:val="0"/>
        <w:autoSpaceDE/>
        <w:autoSpaceDN/>
        <w:bidi w:val="0"/>
        <w:adjustRightInd w:val="0"/>
        <w:snapToGrid w:val="0"/>
        <w:spacing w:after="0" w:line="460" w:lineRule="atLeast"/>
        <w:ind w:left="0" w:leftChars="0" w:firstLine="422" w:firstLineChars="200"/>
        <w:textAlignment w:val="auto"/>
        <w:rPr>
          <w:rFonts w:hint="eastAsia" w:ascii="宋体" w:hAnsi="宋体" w:eastAsia="宋体" w:cs="宋体"/>
          <w:b/>
          <w:color w:val="auto"/>
          <w:sz w:val="21"/>
          <w:szCs w:val="21"/>
          <w:highlight w:val="none"/>
        </w:rPr>
      </w:pPr>
      <w:r>
        <w:rPr>
          <w:rFonts w:hint="eastAsia" w:ascii="宋体" w:hAnsi="宋体" w:eastAsia="宋体" w:cs="宋体"/>
          <w:color w:val="auto"/>
          <w:sz w:val="21"/>
          <w:szCs w:val="21"/>
          <w:highlight w:val="none"/>
        </w:rPr>
        <w:t>语言文字</w:t>
      </w:r>
    </w:p>
    <w:p w14:paraId="49F8D093">
      <w:pPr>
        <w:pStyle w:val="11"/>
        <w:keepNext w:val="0"/>
        <w:keepLines w:val="0"/>
        <w:pageBreakBefore w:val="0"/>
        <w:widowControl w:val="0"/>
        <w:kinsoku/>
        <w:wordWrap/>
        <w:overflowPunct/>
        <w:topLinePunct w:val="0"/>
        <w:autoSpaceDE/>
        <w:autoSpaceDN/>
        <w:bidi w:val="0"/>
        <w:adjustRightInd w:val="0"/>
        <w:snapToGrid w:val="0"/>
        <w:spacing w:after="0" w:line="460" w:lineRule="atLeast"/>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除专用术语外，与招标投标有关的语言均使用中文。必要时专用术语应附有中文注释。</w:t>
      </w:r>
    </w:p>
    <w:p w14:paraId="2F8ACC68">
      <w:pPr>
        <w:pStyle w:val="3"/>
        <w:keepNext w:val="0"/>
        <w:keepLines w:val="0"/>
        <w:pageBreakBefore w:val="0"/>
        <w:widowControl w:val="0"/>
        <w:numPr>
          <w:ilvl w:val="0"/>
          <w:numId w:val="5"/>
        </w:numPr>
        <w:tabs>
          <w:tab w:val="left" w:pos="861"/>
          <w:tab w:val="clear" w:pos="210"/>
        </w:tabs>
        <w:kinsoku/>
        <w:wordWrap/>
        <w:overflowPunct/>
        <w:topLinePunct w:val="0"/>
        <w:autoSpaceDE/>
        <w:autoSpaceDN/>
        <w:bidi w:val="0"/>
        <w:adjustRightInd w:val="0"/>
        <w:snapToGrid w:val="0"/>
        <w:spacing w:after="0" w:line="460" w:lineRule="atLeast"/>
        <w:ind w:left="0" w:leftChars="0" w:firstLine="422" w:firstLineChars="200"/>
        <w:textAlignment w:val="auto"/>
        <w:rPr>
          <w:rFonts w:hint="eastAsia" w:ascii="宋体" w:hAnsi="宋体" w:eastAsia="宋体" w:cs="宋体"/>
          <w:b/>
          <w:color w:val="auto"/>
          <w:sz w:val="21"/>
          <w:szCs w:val="21"/>
          <w:highlight w:val="none"/>
        </w:rPr>
      </w:pPr>
      <w:r>
        <w:rPr>
          <w:rFonts w:hint="eastAsia" w:ascii="宋体" w:hAnsi="宋体" w:eastAsia="宋体" w:cs="宋体"/>
          <w:color w:val="auto"/>
          <w:sz w:val="21"/>
          <w:szCs w:val="21"/>
          <w:highlight w:val="none"/>
        </w:rPr>
        <w:t>计量单位</w:t>
      </w:r>
    </w:p>
    <w:p w14:paraId="76BBF91D">
      <w:pPr>
        <w:pStyle w:val="11"/>
        <w:keepNext w:val="0"/>
        <w:keepLines w:val="0"/>
        <w:pageBreakBefore w:val="0"/>
        <w:widowControl w:val="0"/>
        <w:kinsoku/>
        <w:wordWrap/>
        <w:overflowPunct/>
        <w:topLinePunct w:val="0"/>
        <w:autoSpaceDE/>
        <w:autoSpaceDN/>
        <w:bidi w:val="0"/>
        <w:adjustRightInd w:val="0"/>
        <w:snapToGrid w:val="0"/>
        <w:spacing w:after="0" w:line="460" w:lineRule="atLeast"/>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所有计量均采用中华人民共和国法定计量单位。</w:t>
      </w:r>
    </w:p>
    <w:p w14:paraId="7D7BF5DD">
      <w:pPr>
        <w:pStyle w:val="3"/>
        <w:keepNext w:val="0"/>
        <w:keepLines w:val="0"/>
        <w:pageBreakBefore w:val="0"/>
        <w:widowControl w:val="0"/>
        <w:numPr>
          <w:ilvl w:val="0"/>
          <w:numId w:val="5"/>
        </w:numPr>
        <w:tabs>
          <w:tab w:val="left" w:pos="861"/>
          <w:tab w:val="clear" w:pos="210"/>
        </w:tabs>
        <w:kinsoku/>
        <w:wordWrap/>
        <w:overflowPunct/>
        <w:topLinePunct w:val="0"/>
        <w:autoSpaceDE/>
        <w:autoSpaceDN/>
        <w:bidi w:val="0"/>
        <w:adjustRightInd w:val="0"/>
        <w:snapToGrid w:val="0"/>
        <w:spacing w:after="0" w:line="460" w:lineRule="atLeast"/>
        <w:ind w:left="0" w:leftChars="0" w:firstLine="422" w:firstLineChars="200"/>
        <w:textAlignment w:val="auto"/>
        <w:rPr>
          <w:rFonts w:hint="eastAsia" w:ascii="宋体" w:hAnsi="宋体" w:eastAsia="宋体" w:cs="宋体"/>
          <w:b/>
          <w:color w:val="auto"/>
          <w:sz w:val="21"/>
          <w:szCs w:val="21"/>
          <w:highlight w:val="none"/>
        </w:rPr>
      </w:pPr>
      <w:r>
        <w:rPr>
          <w:rFonts w:hint="eastAsia" w:ascii="宋体" w:hAnsi="宋体" w:eastAsia="宋体" w:cs="宋体"/>
          <w:color w:val="auto"/>
          <w:sz w:val="21"/>
          <w:szCs w:val="21"/>
          <w:highlight w:val="none"/>
        </w:rPr>
        <w:t>踏勘现场</w:t>
      </w:r>
    </w:p>
    <w:p w14:paraId="3B9C5592">
      <w:pPr>
        <w:pStyle w:val="11"/>
        <w:keepNext w:val="0"/>
        <w:keepLines w:val="0"/>
        <w:pageBreakBefore w:val="0"/>
        <w:widowControl w:val="0"/>
        <w:numPr>
          <w:ilvl w:val="0"/>
          <w:numId w:val="11"/>
        </w:numPr>
        <w:tabs>
          <w:tab w:val="left" w:pos="1080"/>
          <w:tab w:val="clear" w:pos="210"/>
        </w:tabs>
        <w:kinsoku/>
        <w:wordWrap/>
        <w:overflowPunct/>
        <w:topLinePunct w:val="0"/>
        <w:autoSpaceDE/>
        <w:autoSpaceDN/>
        <w:bidi w:val="0"/>
        <w:adjustRightInd w:val="0"/>
        <w:snapToGrid w:val="0"/>
        <w:spacing w:after="0" w:line="460" w:lineRule="atLeast"/>
        <w:ind w:left="0" w:leftChars="0" w:firstLine="420" w:firstLineChars="200"/>
        <w:textAlignment w:val="auto"/>
        <w:rPr>
          <w:rFonts w:hint="eastAsia" w:ascii="宋体" w:hAnsi="宋体" w:eastAsia="宋体" w:cs="宋体"/>
          <w:b w:val="0"/>
          <w:color w:val="auto"/>
          <w:sz w:val="21"/>
          <w:szCs w:val="21"/>
          <w:highlight w:val="none"/>
        </w:rPr>
      </w:pPr>
      <w:r>
        <w:rPr>
          <w:rFonts w:hint="eastAsia" w:ascii="宋体" w:hAnsi="宋体" w:eastAsia="宋体" w:cs="宋体"/>
          <w:color w:val="auto"/>
          <w:sz w:val="21"/>
          <w:szCs w:val="21"/>
          <w:highlight w:val="none"/>
        </w:rPr>
        <w:t>招标人不组织投标人踏勘现场，投标人可以自行对项目现场和周围环境进行勘察，以获取编制投标文件和签署合同所需的所有资料。现场踏勘的联系方式见须知前附表。</w:t>
      </w:r>
    </w:p>
    <w:p w14:paraId="5D572D94">
      <w:pPr>
        <w:pStyle w:val="11"/>
        <w:keepNext w:val="0"/>
        <w:keepLines w:val="0"/>
        <w:pageBreakBefore w:val="0"/>
        <w:widowControl w:val="0"/>
        <w:numPr>
          <w:ilvl w:val="0"/>
          <w:numId w:val="11"/>
        </w:numPr>
        <w:tabs>
          <w:tab w:val="left" w:pos="1080"/>
          <w:tab w:val="clear" w:pos="210"/>
        </w:tabs>
        <w:kinsoku/>
        <w:wordWrap/>
        <w:overflowPunct/>
        <w:topLinePunct w:val="0"/>
        <w:autoSpaceDE/>
        <w:autoSpaceDN/>
        <w:bidi w:val="0"/>
        <w:adjustRightInd w:val="0"/>
        <w:snapToGrid w:val="0"/>
        <w:spacing w:after="0" w:line="460" w:lineRule="atLeast"/>
        <w:ind w:left="0" w:leftChars="0" w:firstLine="420" w:firstLineChars="200"/>
        <w:textAlignment w:val="auto"/>
        <w:rPr>
          <w:rFonts w:hint="eastAsia" w:ascii="宋体" w:hAnsi="宋体" w:eastAsia="宋体" w:cs="宋体"/>
          <w:b w:val="0"/>
          <w:color w:val="auto"/>
          <w:sz w:val="21"/>
          <w:szCs w:val="21"/>
          <w:highlight w:val="none"/>
        </w:rPr>
      </w:pPr>
      <w:r>
        <w:rPr>
          <w:rFonts w:hint="eastAsia" w:ascii="宋体" w:hAnsi="宋体" w:eastAsia="宋体" w:cs="宋体"/>
          <w:color w:val="auto"/>
          <w:sz w:val="21"/>
          <w:szCs w:val="21"/>
          <w:highlight w:val="none"/>
        </w:rPr>
        <w:t>投标人踏勘现场发生的费用自理。</w:t>
      </w:r>
    </w:p>
    <w:p w14:paraId="446493E7">
      <w:pPr>
        <w:pStyle w:val="11"/>
        <w:keepNext w:val="0"/>
        <w:keepLines w:val="0"/>
        <w:pageBreakBefore w:val="0"/>
        <w:widowControl w:val="0"/>
        <w:numPr>
          <w:ilvl w:val="0"/>
          <w:numId w:val="11"/>
        </w:numPr>
        <w:tabs>
          <w:tab w:val="left" w:pos="1080"/>
          <w:tab w:val="clear" w:pos="210"/>
        </w:tabs>
        <w:kinsoku/>
        <w:wordWrap/>
        <w:overflowPunct/>
        <w:topLinePunct w:val="0"/>
        <w:autoSpaceDE/>
        <w:autoSpaceDN/>
        <w:bidi w:val="0"/>
        <w:adjustRightInd w:val="0"/>
        <w:snapToGrid w:val="0"/>
        <w:spacing w:after="0" w:line="460" w:lineRule="atLeast"/>
        <w:ind w:left="0" w:leftChars="0" w:firstLine="420" w:firstLineChars="200"/>
        <w:textAlignment w:val="auto"/>
        <w:rPr>
          <w:rFonts w:hint="eastAsia" w:ascii="宋体" w:hAnsi="宋体" w:eastAsia="宋体" w:cs="宋体"/>
          <w:b w:val="0"/>
          <w:color w:val="auto"/>
          <w:sz w:val="21"/>
          <w:szCs w:val="21"/>
          <w:highlight w:val="none"/>
        </w:rPr>
      </w:pPr>
      <w:r>
        <w:rPr>
          <w:rFonts w:hint="eastAsia" w:ascii="宋体" w:hAnsi="宋体" w:eastAsia="宋体" w:cs="宋体"/>
          <w:color w:val="auto"/>
          <w:sz w:val="21"/>
          <w:szCs w:val="21"/>
          <w:highlight w:val="none"/>
        </w:rPr>
        <w:t>除招标人的原因外，投标人自行负责在踏勘现场中所发生的人员伤亡和财产损失。</w:t>
      </w:r>
    </w:p>
    <w:p w14:paraId="4FC70925">
      <w:pPr>
        <w:pStyle w:val="11"/>
        <w:keepNext w:val="0"/>
        <w:keepLines w:val="0"/>
        <w:pageBreakBefore w:val="0"/>
        <w:widowControl w:val="0"/>
        <w:numPr>
          <w:ilvl w:val="0"/>
          <w:numId w:val="11"/>
        </w:numPr>
        <w:tabs>
          <w:tab w:val="left" w:pos="1080"/>
          <w:tab w:val="clear" w:pos="210"/>
        </w:tabs>
        <w:kinsoku/>
        <w:wordWrap/>
        <w:overflowPunct/>
        <w:topLinePunct w:val="0"/>
        <w:autoSpaceDE/>
        <w:autoSpaceDN/>
        <w:bidi w:val="0"/>
        <w:adjustRightInd w:val="0"/>
        <w:snapToGrid w:val="0"/>
        <w:spacing w:after="0" w:line="460" w:lineRule="atLeast"/>
        <w:ind w:left="0" w:leftChars="0" w:firstLine="420" w:firstLineChars="200"/>
        <w:textAlignment w:val="auto"/>
        <w:rPr>
          <w:rFonts w:hint="eastAsia" w:ascii="宋体" w:hAnsi="宋体" w:eastAsia="宋体" w:cs="宋体"/>
          <w:b w:val="0"/>
          <w:color w:val="auto"/>
          <w:sz w:val="21"/>
          <w:szCs w:val="21"/>
          <w:highlight w:val="none"/>
        </w:rPr>
      </w:pPr>
      <w:r>
        <w:rPr>
          <w:rFonts w:hint="eastAsia" w:ascii="宋体" w:hAnsi="宋体" w:eastAsia="宋体" w:cs="宋体"/>
          <w:color w:val="auto"/>
          <w:sz w:val="21"/>
          <w:szCs w:val="21"/>
          <w:highlight w:val="none"/>
        </w:rPr>
        <w:t>招标人向投标人提供的有关施工现场的资料和数据是招标人现有的能使投标人利用的资料。招标人对投标人由此而做出的推论、理解和结论概不负责。</w:t>
      </w:r>
    </w:p>
    <w:p w14:paraId="62148DD8">
      <w:pPr>
        <w:pStyle w:val="3"/>
        <w:keepNext w:val="0"/>
        <w:keepLines w:val="0"/>
        <w:pageBreakBefore w:val="0"/>
        <w:widowControl w:val="0"/>
        <w:numPr>
          <w:ilvl w:val="0"/>
          <w:numId w:val="5"/>
        </w:numPr>
        <w:tabs>
          <w:tab w:val="left" w:pos="861"/>
          <w:tab w:val="clear" w:pos="210"/>
        </w:tabs>
        <w:kinsoku/>
        <w:wordWrap/>
        <w:overflowPunct/>
        <w:topLinePunct w:val="0"/>
        <w:autoSpaceDE/>
        <w:autoSpaceDN/>
        <w:bidi w:val="0"/>
        <w:adjustRightInd w:val="0"/>
        <w:snapToGrid w:val="0"/>
        <w:spacing w:after="0" w:line="460" w:lineRule="atLeast"/>
        <w:ind w:left="0" w:leftChars="0" w:firstLine="422" w:firstLineChars="200"/>
        <w:textAlignment w:val="auto"/>
        <w:rPr>
          <w:rFonts w:hint="eastAsia" w:ascii="宋体" w:hAnsi="宋体" w:eastAsia="宋体" w:cs="宋体"/>
          <w:b/>
          <w:color w:val="auto"/>
          <w:sz w:val="21"/>
          <w:szCs w:val="21"/>
          <w:highlight w:val="none"/>
        </w:rPr>
      </w:pPr>
      <w:r>
        <w:rPr>
          <w:rFonts w:hint="eastAsia" w:ascii="宋体" w:hAnsi="宋体" w:eastAsia="宋体" w:cs="宋体"/>
          <w:color w:val="auto"/>
          <w:sz w:val="21"/>
          <w:szCs w:val="21"/>
          <w:highlight w:val="none"/>
        </w:rPr>
        <w:t>分包</w:t>
      </w:r>
    </w:p>
    <w:p w14:paraId="4416A035">
      <w:pPr>
        <w:pStyle w:val="11"/>
        <w:keepNext w:val="0"/>
        <w:keepLines w:val="0"/>
        <w:pageBreakBefore w:val="0"/>
        <w:widowControl w:val="0"/>
        <w:numPr>
          <w:ilvl w:val="0"/>
          <w:numId w:val="12"/>
        </w:numPr>
        <w:tabs>
          <w:tab w:val="left" w:pos="1200"/>
          <w:tab w:val="clear" w:pos="210"/>
        </w:tabs>
        <w:kinsoku/>
        <w:wordWrap/>
        <w:overflowPunct/>
        <w:topLinePunct w:val="0"/>
        <w:autoSpaceDE/>
        <w:autoSpaceDN/>
        <w:bidi w:val="0"/>
        <w:adjustRightInd w:val="0"/>
        <w:snapToGrid w:val="0"/>
        <w:spacing w:after="0" w:line="460" w:lineRule="atLeast"/>
        <w:ind w:left="0" w:leftChars="0" w:firstLine="420" w:firstLineChars="200"/>
        <w:textAlignment w:val="auto"/>
        <w:rPr>
          <w:rFonts w:hint="eastAsia" w:ascii="宋体" w:hAnsi="宋体" w:eastAsia="宋体" w:cs="宋体"/>
          <w:b w:val="0"/>
          <w:color w:val="auto"/>
          <w:sz w:val="21"/>
          <w:szCs w:val="21"/>
          <w:highlight w:val="none"/>
        </w:rPr>
      </w:pPr>
      <w:r>
        <w:rPr>
          <w:rFonts w:hint="eastAsia" w:ascii="宋体" w:hAnsi="宋体" w:eastAsia="宋体" w:cs="宋体"/>
          <w:color w:val="auto"/>
          <w:sz w:val="21"/>
          <w:szCs w:val="21"/>
          <w:highlight w:val="none"/>
        </w:rPr>
        <w:t>投标人拟在中标后将中标项目的非主体设备或工作进行分包的，应符合投标人须知前附表规定的分包内容、分包金额和资质要求等限制性条件，除投标人须知前附表规定的非主体设备或工作外，其他工作不得分包。</w:t>
      </w:r>
    </w:p>
    <w:p w14:paraId="7CA952BC">
      <w:pPr>
        <w:pStyle w:val="11"/>
        <w:keepNext w:val="0"/>
        <w:keepLines w:val="0"/>
        <w:pageBreakBefore w:val="0"/>
        <w:widowControl w:val="0"/>
        <w:numPr>
          <w:ilvl w:val="0"/>
          <w:numId w:val="12"/>
        </w:numPr>
        <w:tabs>
          <w:tab w:val="left" w:pos="1200"/>
          <w:tab w:val="clear" w:pos="210"/>
        </w:tabs>
        <w:kinsoku/>
        <w:wordWrap/>
        <w:overflowPunct/>
        <w:topLinePunct w:val="0"/>
        <w:autoSpaceDE/>
        <w:autoSpaceDN/>
        <w:bidi w:val="0"/>
        <w:adjustRightInd w:val="0"/>
        <w:snapToGrid w:val="0"/>
        <w:spacing w:after="0" w:line="460" w:lineRule="atLeast"/>
        <w:ind w:left="0" w:leftChars="0" w:firstLine="420" w:firstLineChars="200"/>
        <w:textAlignment w:val="auto"/>
        <w:rPr>
          <w:rFonts w:hint="eastAsia" w:ascii="宋体" w:hAnsi="宋体" w:eastAsia="宋体" w:cs="宋体"/>
          <w:b w:val="0"/>
          <w:color w:val="auto"/>
          <w:sz w:val="21"/>
          <w:szCs w:val="21"/>
          <w:highlight w:val="none"/>
        </w:rPr>
      </w:pPr>
      <w:r>
        <w:rPr>
          <w:rFonts w:hint="eastAsia" w:ascii="宋体" w:hAnsi="宋体" w:eastAsia="宋体" w:cs="宋体"/>
          <w:color w:val="auto"/>
          <w:sz w:val="21"/>
          <w:szCs w:val="21"/>
          <w:highlight w:val="none"/>
        </w:rPr>
        <w:t>中标人不得向他人转让中标项目，接受分包的人不得再次分包。中标人应当就分包项目向招标人负责，接受分包的人就分包项目承担连带责任。</w:t>
      </w:r>
    </w:p>
    <w:p w14:paraId="388ABC73">
      <w:pPr>
        <w:pStyle w:val="3"/>
        <w:keepNext w:val="0"/>
        <w:keepLines w:val="0"/>
        <w:pageBreakBefore w:val="0"/>
        <w:widowControl w:val="0"/>
        <w:numPr>
          <w:ilvl w:val="0"/>
          <w:numId w:val="5"/>
        </w:numPr>
        <w:tabs>
          <w:tab w:val="left" w:pos="861"/>
          <w:tab w:val="clear" w:pos="210"/>
        </w:tabs>
        <w:kinsoku/>
        <w:wordWrap/>
        <w:overflowPunct/>
        <w:topLinePunct w:val="0"/>
        <w:autoSpaceDE/>
        <w:autoSpaceDN/>
        <w:bidi w:val="0"/>
        <w:adjustRightInd w:val="0"/>
        <w:snapToGrid w:val="0"/>
        <w:spacing w:after="0" w:line="460" w:lineRule="atLeast"/>
        <w:ind w:left="0" w:leftChars="0" w:firstLine="422" w:firstLineChars="200"/>
        <w:textAlignment w:val="auto"/>
        <w:rPr>
          <w:rFonts w:hint="eastAsia" w:ascii="宋体" w:hAnsi="宋体" w:eastAsia="宋体" w:cs="宋体"/>
          <w:b/>
          <w:color w:val="auto"/>
          <w:sz w:val="21"/>
          <w:szCs w:val="21"/>
          <w:highlight w:val="none"/>
        </w:rPr>
      </w:pPr>
      <w:r>
        <w:rPr>
          <w:rFonts w:hint="eastAsia" w:ascii="宋体" w:hAnsi="宋体" w:eastAsia="宋体" w:cs="宋体"/>
          <w:color w:val="auto"/>
          <w:sz w:val="21"/>
          <w:szCs w:val="21"/>
          <w:highlight w:val="none"/>
        </w:rPr>
        <w:t>响应和偏差</w:t>
      </w:r>
    </w:p>
    <w:p w14:paraId="2602FFD7">
      <w:pPr>
        <w:pStyle w:val="11"/>
        <w:keepNext w:val="0"/>
        <w:keepLines w:val="0"/>
        <w:pageBreakBefore w:val="0"/>
        <w:widowControl w:val="0"/>
        <w:numPr>
          <w:ilvl w:val="0"/>
          <w:numId w:val="13"/>
        </w:numPr>
        <w:tabs>
          <w:tab w:val="left" w:pos="1200"/>
          <w:tab w:val="clear" w:pos="210"/>
        </w:tabs>
        <w:kinsoku/>
        <w:wordWrap/>
        <w:overflowPunct/>
        <w:topLinePunct w:val="0"/>
        <w:autoSpaceDE/>
        <w:autoSpaceDN/>
        <w:bidi w:val="0"/>
        <w:adjustRightInd w:val="0"/>
        <w:snapToGrid w:val="0"/>
        <w:spacing w:after="0" w:line="460" w:lineRule="atLeast"/>
        <w:ind w:left="0" w:leftChars="0" w:firstLine="420" w:firstLineChars="200"/>
        <w:textAlignment w:val="auto"/>
        <w:rPr>
          <w:rFonts w:hint="eastAsia" w:ascii="宋体" w:hAnsi="宋体" w:eastAsia="宋体" w:cs="宋体"/>
          <w:b w:val="0"/>
          <w:color w:val="auto"/>
          <w:sz w:val="21"/>
          <w:szCs w:val="21"/>
          <w:highlight w:val="none"/>
        </w:rPr>
      </w:pPr>
      <w:r>
        <w:rPr>
          <w:rFonts w:hint="eastAsia" w:ascii="宋体" w:hAnsi="宋体" w:eastAsia="宋体" w:cs="宋体"/>
          <w:color w:val="auto"/>
          <w:sz w:val="21"/>
          <w:szCs w:val="21"/>
          <w:highlight w:val="none"/>
        </w:rPr>
        <w:t>投标文件应当对招标文件的实质性要求和条件作出满足性或更有利于招标人的响应，否则，投标人的投标将可能被否决。</w:t>
      </w:r>
    </w:p>
    <w:p w14:paraId="64AD02A8">
      <w:pPr>
        <w:pStyle w:val="11"/>
        <w:keepNext w:val="0"/>
        <w:keepLines w:val="0"/>
        <w:pageBreakBefore w:val="0"/>
        <w:widowControl w:val="0"/>
        <w:numPr>
          <w:ilvl w:val="0"/>
          <w:numId w:val="13"/>
        </w:numPr>
        <w:tabs>
          <w:tab w:val="left" w:pos="1200"/>
          <w:tab w:val="clear" w:pos="210"/>
        </w:tabs>
        <w:kinsoku/>
        <w:wordWrap/>
        <w:overflowPunct/>
        <w:topLinePunct w:val="0"/>
        <w:autoSpaceDE/>
        <w:autoSpaceDN/>
        <w:bidi w:val="0"/>
        <w:adjustRightInd w:val="0"/>
        <w:snapToGrid w:val="0"/>
        <w:spacing w:after="0" w:line="460" w:lineRule="atLeast"/>
        <w:ind w:left="0" w:leftChars="0" w:firstLine="420" w:firstLineChars="200"/>
        <w:textAlignment w:val="auto"/>
        <w:rPr>
          <w:rFonts w:hint="eastAsia" w:ascii="宋体" w:hAnsi="宋体" w:eastAsia="宋体" w:cs="宋体"/>
          <w:b w:val="0"/>
          <w:color w:val="auto"/>
          <w:sz w:val="21"/>
          <w:szCs w:val="21"/>
          <w:highlight w:val="none"/>
        </w:rPr>
      </w:pPr>
      <w:r>
        <w:rPr>
          <w:rFonts w:hint="eastAsia" w:ascii="宋体" w:hAnsi="宋体" w:eastAsia="宋体" w:cs="宋体"/>
          <w:color w:val="auto"/>
          <w:sz w:val="21"/>
          <w:szCs w:val="21"/>
          <w:highlight w:val="none"/>
        </w:rPr>
        <w:t>投标人应根据招标文件的要求提供投标设备技术性能指标的详细描述、技术支持资料及技术服务和质保期服务计划等内容以对招标文件作出响应。</w:t>
      </w:r>
    </w:p>
    <w:p w14:paraId="24C5B3B8">
      <w:pPr>
        <w:pStyle w:val="11"/>
        <w:keepNext w:val="0"/>
        <w:keepLines w:val="0"/>
        <w:pageBreakBefore w:val="0"/>
        <w:widowControl w:val="0"/>
        <w:numPr>
          <w:ilvl w:val="0"/>
          <w:numId w:val="13"/>
        </w:numPr>
        <w:tabs>
          <w:tab w:val="left" w:pos="1200"/>
          <w:tab w:val="clear" w:pos="210"/>
        </w:tabs>
        <w:kinsoku/>
        <w:wordWrap/>
        <w:overflowPunct/>
        <w:topLinePunct w:val="0"/>
        <w:autoSpaceDE/>
        <w:autoSpaceDN/>
        <w:bidi w:val="0"/>
        <w:adjustRightInd w:val="0"/>
        <w:snapToGrid w:val="0"/>
        <w:spacing w:after="0" w:line="460" w:lineRule="atLeast"/>
        <w:ind w:left="0" w:leftChars="0" w:firstLine="420" w:firstLineChars="200"/>
        <w:textAlignment w:val="auto"/>
        <w:rPr>
          <w:rFonts w:hint="eastAsia" w:ascii="宋体" w:hAnsi="宋体" w:eastAsia="宋体" w:cs="宋体"/>
          <w:b w:val="0"/>
          <w:color w:val="auto"/>
          <w:sz w:val="21"/>
          <w:szCs w:val="21"/>
          <w:highlight w:val="none"/>
        </w:rPr>
      </w:pPr>
      <w:r>
        <w:rPr>
          <w:rFonts w:hint="eastAsia" w:ascii="宋体" w:hAnsi="宋体" w:eastAsia="宋体" w:cs="宋体"/>
          <w:color w:val="auto"/>
          <w:sz w:val="21"/>
          <w:szCs w:val="21"/>
          <w:highlight w:val="none"/>
        </w:rPr>
        <w:t>投标人须知前附表规定了可以偏差的范围和最高偏差项数的，偏差应当符合投标人须知前附表规定的偏差范围和最高项数，超出偏差范围和最高偏差项数的投标将被否决。</w:t>
      </w:r>
    </w:p>
    <w:p w14:paraId="0A2F55BE">
      <w:pPr>
        <w:pStyle w:val="11"/>
        <w:keepNext w:val="0"/>
        <w:keepLines w:val="0"/>
        <w:pageBreakBefore w:val="0"/>
        <w:widowControl w:val="0"/>
        <w:numPr>
          <w:ilvl w:val="0"/>
          <w:numId w:val="13"/>
        </w:numPr>
        <w:tabs>
          <w:tab w:val="left" w:pos="1200"/>
          <w:tab w:val="clear" w:pos="210"/>
        </w:tabs>
        <w:kinsoku/>
        <w:wordWrap/>
        <w:overflowPunct/>
        <w:topLinePunct w:val="0"/>
        <w:autoSpaceDE/>
        <w:autoSpaceDN/>
        <w:bidi w:val="0"/>
        <w:adjustRightInd w:val="0"/>
        <w:snapToGrid w:val="0"/>
        <w:spacing w:after="0" w:line="460" w:lineRule="atLeast"/>
        <w:ind w:left="0" w:leftChars="0" w:firstLine="420" w:firstLineChars="200"/>
        <w:textAlignment w:val="auto"/>
        <w:rPr>
          <w:rFonts w:hint="eastAsia" w:ascii="宋体" w:hAnsi="宋体" w:eastAsia="宋体" w:cs="宋体"/>
          <w:b w:val="0"/>
          <w:color w:val="auto"/>
          <w:sz w:val="21"/>
          <w:szCs w:val="21"/>
          <w:highlight w:val="none"/>
        </w:rPr>
      </w:pPr>
      <w:r>
        <w:rPr>
          <w:rFonts w:hint="eastAsia" w:ascii="宋体" w:hAnsi="宋体" w:eastAsia="宋体" w:cs="宋体"/>
          <w:color w:val="auto"/>
          <w:sz w:val="21"/>
          <w:szCs w:val="21"/>
          <w:highlight w:val="none"/>
        </w:rPr>
        <w:t>投标文件对招标文件的全部偏差，均应在投标文件的商务和技术偏差表中列明，除列明的内容外，视为投标人响应招标文件的全部要求。</w:t>
      </w:r>
    </w:p>
    <w:p w14:paraId="3013730B">
      <w:pPr>
        <w:pStyle w:val="3"/>
        <w:keepNext w:val="0"/>
        <w:keepLines w:val="0"/>
        <w:pageBreakBefore w:val="0"/>
        <w:widowControl w:val="0"/>
        <w:numPr>
          <w:ilvl w:val="0"/>
          <w:numId w:val="5"/>
        </w:numPr>
        <w:tabs>
          <w:tab w:val="left" w:pos="861"/>
          <w:tab w:val="clear" w:pos="210"/>
        </w:tabs>
        <w:kinsoku/>
        <w:wordWrap/>
        <w:overflowPunct/>
        <w:topLinePunct w:val="0"/>
        <w:autoSpaceDE/>
        <w:autoSpaceDN/>
        <w:bidi w:val="0"/>
        <w:adjustRightInd w:val="0"/>
        <w:snapToGrid w:val="0"/>
        <w:spacing w:after="0" w:line="460" w:lineRule="atLeast"/>
        <w:ind w:left="0" w:leftChars="0" w:firstLine="422" w:firstLineChars="200"/>
        <w:textAlignment w:val="auto"/>
        <w:rPr>
          <w:rFonts w:hint="eastAsia" w:ascii="宋体" w:hAnsi="宋体" w:eastAsia="宋体" w:cs="宋体"/>
          <w:b/>
          <w:color w:val="auto"/>
          <w:sz w:val="21"/>
          <w:szCs w:val="21"/>
          <w:highlight w:val="none"/>
        </w:rPr>
      </w:pPr>
      <w:r>
        <w:rPr>
          <w:rFonts w:hint="eastAsia" w:ascii="宋体" w:hAnsi="宋体" w:eastAsia="宋体" w:cs="宋体"/>
          <w:color w:val="auto"/>
          <w:sz w:val="21"/>
          <w:szCs w:val="21"/>
          <w:highlight w:val="none"/>
        </w:rPr>
        <w:t>知识产权</w:t>
      </w:r>
    </w:p>
    <w:p w14:paraId="358F9E67">
      <w:pPr>
        <w:pStyle w:val="11"/>
        <w:keepNext w:val="0"/>
        <w:keepLines w:val="0"/>
        <w:pageBreakBefore w:val="0"/>
        <w:widowControl w:val="0"/>
        <w:kinsoku/>
        <w:wordWrap/>
        <w:overflowPunct/>
        <w:topLinePunct w:val="0"/>
        <w:autoSpaceDE/>
        <w:autoSpaceDN/>
        <w:bidi w:val="0"/>
        <w:adjustRightInd w:val="0"/>
        <w:snapToGrid w:val="0"/>
        <w:spacing w:after="0" w:line="460" w:lineRule="atLeast"/>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构成本招标文件各个组成部分的文件，未经招标人书面同意，投标人不得擅自复印和用于非本招标项目所需的其他目的。招标人全部或者部分使用未中标人投标文件中的技术成果或技术方案时，需征得其书面同意，并不得擅自复印或提供给第三人。</w:t>
      </w:r>
    </w:p>
    <w:p w14:paraId="09AAF661">
      <w:pPr>
        <w:pStyle w:val="3"/>
        <w:keepNext w:val="0"/>
        <w:keepLines w:val="0"/>
        <w:pageBreakBefore w:val="0"/>
        <w:widowControl w:val="0"/>
        <w:numPr>
          <w:ilvl w:val="0"/>
          <w:numId w:val="5"/>
        </w:numPr>
        <w:tabs>
          <w:tab w:val="left" w:pos="861"/>
          <w:tab w:val="clear" w:pos="210"/>
        </w:tabs>
        <w:kinsoku/>
        <w:wordWrap/>
        <w:overflowPunct/>
        <w:topLinePunct w:val="0"/>
        <w:autoSpaceDE/>
        <w:autoSpaceDN/>
        <w:bidi w:val="0"/>
        <w:adjustRightInd w:val="0"/>
        <w:snapToGrid w:val="0"/>
        <w:spacing w:after="0" w:line="460" w:lineRule="atLeast"/>
        <w:ind w:left="0" w:leftChars="0" w:firstLine="422" w:firstLineChars="200"/>
        <w:textAlignment w:val="auto"/>
        <w:rPr>
          <w:rFonts w:hint="eastAsia" w:ascii="宋体" w:hAnsi="宋体" w:eastAsia="宋体" w:cs="宋体"/>
          <w:b/>
          <w:color w:val="auto"/>
          <w:sz w:val="21"/>
          <w:szCs w:val="21"/>
          <w:highlight w:val="none"/>
        </w:rPr>
      </w:pPr>
      <w:r>
        <w:rPr>
          <w:rFonts w:hint="eastAsia" w:ascii="宋体" w:hAnsi="宋体" w:eastAsia="宋体" w:cs="宋体"/>
          <w:color w:val="auto"/>
          <w:sz w:val="21"/>
          <w:szCs w:val="21"/>
          <w:highlight w:val="none"/>
        </w:rPr>
        <w:t>同义词语</w:t>
      </w:r>
    </w:p>
    <w:p w14:paraId="52F242B4">
      <w:pPr>
        <w:pStyle w:val="11"/>
        <w:keepNext w:val="0"/>
        <w:keepLines w:val="0"/>
        <w:pageBreakBefore w:val="0"/>
        <w:widowControl w:val="0"/>
        <w:kinsoku/>
        <w:wordWrap/>
        <w:overflowPunct/>
        <w:topLinePunct w:val="0"/>
        <w:autoSpaceDE/>
        <w:autoSpaceDN/>
        <w:bidi w:val="0"/>
        <w:adjustRightInd w:val="0"/>
        <w:snapToGrid w:val="0"/>
        <w:spacing w:after="0" w:line="460" w:lineRule="atLeast"/>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构成招标文件组成部分的“通用合同条款”“专用合同条款”“招标需求”和“服务配置清单”等章节中出现的措辞“发包人”和“承包人”、“甲方”和“乙方”，在招标投标阶段应当分别按“招标人”和“投标人”进行理解。</w:t>
      </w:r>
    </w:p>
    <w:p w14:paraId="08A0E01A">
      <w:pPr>
        <w:pStyle w:val="2"/>
        <w:keepNext w:val="0"/>
        <w:keepLines w:val="0"/>
        <w:pageBreakBefore w:val="0"/>
        <w:widowControl w:val="0"/>
        <w:numPr>
          <w:ilvl w:val="0"/>
          <w:numId w:val="4"/>
        </w:numPr>
        <w:tabs>
          <w:tab w:val="left" w:pos="962"/>
          <w:tab w:val="clear" w:pos="210"/>
        </w:tabs>
        <w:kinsoku/>
        <w:wordWrap/>
        <w:overflowPunct/>
        <w:topLinePunct w:val="0"/>
        <w:autoSpaceDE/>
        <w:autoSpaceDN/>
        <w:bidi w:val="0"/>
        <w:adjustRightInd w:val="0"/>
        <w:snapToGrid w:val="0"/>
        <w:spacing w:before="0" w:beforeLines="0" w:after="0" w:line="460" w:lineRule="atLeast"/>
        <w:ind w:left="0" w:leftChars="0" w:firstLine="422" w:firstLineChars="200"/>
        <w:textAlignment w:val="auto"/>
        <w:rPr>
          <w:rFonts w:hint="eastAsia" w:ascii="宋体" w:hAnsi="宋体" w:eastAsia="宋体" w:cs="宋体"/>
          <w:b/>
          <w:color w:val="auto"/>
          <w:sz w:val="21"/>
          <w:szCs w:val="21"/>
          <w:highlight w:val="none"/>
        </w:rPr>
      </w:pPr>
      <w:bookmarkStart w:id="23" w:name="heading_16"/>
      <w:r>
        <w:rPr>
          <w:rFonts w:hint="eastAsia" w:ascii="宋体" w:hAnsi="宋体" w:eastAsia="宋体" w:cs="宋体"/>
          <w:color w:val="auto"/>
          <w:sz w:val="21"/>
          <w:szCs w:val="21"/>
          <w:highlight w:val="none"/>
        </w:rPr>
        <w:t>招标文件</w:t>
      </w:r>
      <w:bookmarkEnd w:id="23"/>
    </w:p>
    <w:p w14:paraId="3F9E4358">
      <w:pPr>
        <w:pStyle w:val="3"/>
        <w:keepNext w:val="0"/>
        <w:keepLines w:val="0"/>
        <w:pageBreakBefore w:val="0"/>
        <w:widowControl w:val="0"/>
        <w:numPr>
          <w:ilvl w:val="0"/>
          <w:numId w:val="14"/>
        </w:numPr>
        <w:tabs>
          <w:tab w:val="left" w:pos="861"/>
          <w:tab w:val="clear" w:pos="210"/>
        </w:tabs>
        <w:kinsoku/>
        <w:wordWrap/>
        <w:overflowPunct/>
        <w:topLinePunct w:val="0"/>
        <w:autoSpaceDE/>
        <w:autoSpaceDN/>
        <w:bidi w:val="0"/>
        <w:adjustRightInd w:val="0"/>
        <w:snapToGrid w:val="0"/>
        <w:spacing w:after="0" w:line="460" w:lineRule="atLeast"/>
        <w:ind w:left="0" w:leftChars="0" w:firstLine="422" w:firstLineChars="200"/>
        <w:textAlignment w:val="auto"/>
        <w:rPr>
          <w:rFonts w:hint="eastAsia" w:ascii="宋体" w:hAnsi="宋体" w:eastAsia="宋体" w:cs="宋体"/>
          <w:b/>
          <w:color w:val="auto"/>
          <w:sz w:val="21"/>
          <w:szCs w:val="21"/>
          <w:highlight w:val="none"/>
        </w:rPr>
      </w:pPr>
      <w:r>
        <w:rPr>
          <w:rFonts w:hint="eastAsia" w:ascii="宋体" w:hAnsi="宋体" w:eastAsia="宋体" w:cs="宋体"/>
          <w:color w:val="auto"/>
          <w:sz w:val="21"/>
          <w:szCs w:val="21"/>
          <w:highlight w:val="none"/>
        </w:rPr>
        <w:t>招标文件组成</w:t>
      </w:r>
    </w:p>
    <w:p w14:paraId="6527130F">
      <w:pPr>
        <w:pStyle w:val="11"/>
        <w:keepNext w:val="0"/>
        <w:keepLines w:val="0"/>
        <w:pageBreakBefore w:val="0"/>
        <w:widowControl w:val="0"/>
        <w:numPr>
          <w:ilvl w:val="0"/>
          <w:numId w:val="15"/>
        </w:numPr>
        <w:tabs>
          <w:tab w:val="left" w:pos="1080"/>
          <w:tab w:val="clear" w:pos="210"/>
        </w:tabs>
        <w:kinsoku/>
        <w:wordWrap/>
        <w:overflowPunct/>
        <w:topLinePunct w:val="0"/>
        <w:autoSpaceDE/>
        <w:autoSpaceDN/>
        <w:bidi w:val="0"/>
        <w:adjustRightInd w:val="0"/>
        <w:snapToGrid w:val="0"/>
        <w:spacing w:after="0" w:line="460" w:lineRule="atLeast"/>
        <w:ind w:left="0" w:leftChars="0" w:firstLine="420" w:firstLineChars="200"/>
        <w:textAlignment w:val="auto"/>
        <w:rPr>
          <w:rFonts w:hint="eastAsia" w:ascii="宋体" w:hAnsi="宋体" w:eastAsia="宋体" w:cs="宋体"/>
          <w:b w:val="0"/>
          <w:color w:val="auto"/>
          <w:sz w:val="21"/>
          <w:szCs w:val="21"/>
          <w:highlight w:val="none"/>
        </w:rPr>
      </w:pPr>
      <w:r>
        <w:rPr>
          <w:rFonts w:hint="eastAsia" w:ascii="宋体" w:hAnsi="宋体" w:eastAsia="宋体" w:cs="宋体"/>
          <w:color w:val="auto"/>
          <w:sz w:val="21"/>
          <w:szCs w:val="21"/>
          <w:highlight w:val="none"/>
        </w:rPr>
        <w:t>本招标文件包括：</w:t>
      </w:r>
    </w:p>
    <w:p w14:paraId="29A35039">
      <w:pPr>
        <w:pStyle w:val="11"/>
        <w:keepNext w:val="0"/>
        <w:keepLines w:val="0"/>
        <w:pageBreakBefore w:val="0"/>
        <w:widowControl w:val="0"/>
        <w:numPr>
          <w:ilvl w:val="0"/>
          <w:numId w:val="16"/>
        </w:numPr>
        <w:tabs>
          <w:tab w:val="left" w:pos="1080"/>
        </w:tabs>
        <w:kinsoku/>
        <w:wordWrap/>
        <w:overflowPunct/>
        <w:topLinePunct w:val="0"/>
        <w:autoSpaceDE/>
        <w:autoSpaceDN/>
        <w:bidi w:val="0"/>
        <w:adjustRightInd w:val="0"/>
        <w:snapToGrid w:val="0"/>
        <w:spacing w:after="0" w:line="460" w:lineRule="atLeast"/>
        <w:ind w:left="0" w:leftChars="0" w:firstLine="420" w:firstLineChars="200"/>
        <w:textAlignment w:val="auto"/>
        <w:rPr>
          <w:rFonts w:hint="eastAsia" w:ascii="宋体" w:hAnsi="宋体" w:eastAsia="宋体" w:cs="宋体"/>
          <w:b w:val="0"/>
          <w:color w:val="auto"/>
          <w:sz w:val="21"/>
          <w:szCs w:val="21"/>
          <w:highlight w:val="none"/>
        </w:rPr>
      </w:pPr>
      <w:r>
        <w:rPr>
          <w:rFonts w:hint="eastAsia" w:ascii="宋体" w:hAnsi="宋体" w:eastAsia="宋体" w:cs="宋体"/>
          <w:color w:val="auto"/>
          <w:sz w:val="21"/>
          <w:szCs w:val="21"/>
          <w:highlight w:val="none"/>
        </w:rPr>
        <w:t>招标公告；</w:t>
      </w:r>
    </w:p>
    <w:p w14:paraId="5A45E27A">
      <w:pPr>
        <w:pStyle w:val="11"/>
        <w:keepNext w:val="0"/>
        <w:keepLines w:val="0"/>
        <w:pageBreakBefore w:val="0"/>
        <w:widowControl w:val="0"/>
        <w:numPr>
          <w:ilvl w:val="0"/>
          <w:numId w:val="16"/>
        </w:numPr>
        <w:tabs>
          <w:tab w:val="left" w:pos="1080"/>
        </w:tabs>
        <w:kinsoku/>
        <w:wordWrap/>
        <w:overflowPunct/>
        <w:topLinePunct w:val="0"/>
        <w:autoSpaceDE/>
        <w:autoSpaceDN/>
        <w:bidi w:val="0"/>
        <w:adjustRightInd w:val="0"/>
        <w:snapToGrid w:val="0"/>
        <w:spacing w:after="0" w:line="460" w:lineRule="atLeast"/>
        <w:ind w:left="0" w:leftChars="0" w:firstLine="420" w:firstLineChars="200"/>
        <w:textAlignment w:val="auto"/>
        <w:rPr>
          <w:rFonts w:hint="eastAsia" w:ascii="宋体" w:hAnsi="宋体" w:eastAsia="宋体" w:cs="宋体"/>
          <w:b w:val="0"/>
          <w:color w:val="auto"/>
          <w:sz w:val="21"/>
          <w:szCs w:val="21"/>
          <w:highlight w:val="none"/>
        </w:rPr>
      </w:pPr>
      <w:r>
        <w:rPr>
          <w:rFonts w:hint="eastAsia" w:ascii="宋体" w:hAnsi="宋体" w:eastAsia="宋体" w:cs="宋体"/>
          <w:color w:val="auto"/>
          <w:sz w:val="21"/>
          <w:szCs w:val="21"/>
          <w:highlight w:val="none"/>
        </w:rPr>
        <w:t>投标人须知；</w:t>
      </w:r>
    </w:p>
    <w:p w14:paraId="3DC0C09B">
      <w:pPr>
        <w:pStyle w:val="11"/>
        <w:keepNext w:val="0"/>
        <w:keepLines w:val="0"/>
        <w:pageBreakBefore w:val="0"/>
        <w:widowControl w:val="0"/>
        <w:numPr>
          <w:ilvl w:val="0"/>
          <w:numId w:val="16"/>
        </w:numPr>
        <w:tabs>
          <w:tab w:val="left" w:pos="1080"/>
        </w:tabs>
        <w:kinsoku/>
        <w:wordWrap/>
        <w:overflowPunct/>
        <w:topLinePunct w:val="0"/>
        <w:autoSpaceDE/>
        <w:autoSpaceDN/>
        <w:bidi w:val="0"/>
        <w:adjustRightInd w:val="0"/>
        <w:snapToGrid w:val="0"/>
        <w:spacing w:after="0" w:line="460" w:lineRule="atLeast"/>
        <w:ind w:left="0" w:leftChars="0" w:firstLine="420" w:firstLineChars="200"/>
        <w:textAlignment w:val="auto"/>
        <w:rPr>
          <w:rFonts w:hint="eastAsia" w:ascii="宋体" w:hAnsi="宋体" w:eastAsia="宋体" w:cs="宋体"/>
          <w:b w:val="0"/>
          <w:color w:val="auto"/>
          <w:sz w:val="21"/>
          <w:szCs w:val="21"/>
          <w:highlight w:val="none"/>
        </w:rPr>
      </w:pPr>
      <w:r>
        <w:rPr>
          <w:rFonts w:hint="eastAsia" w:ascii="宋体" w:hAnsi="宋体" w:eastAsia="宋体" w:cs="宋体"/>
          <w:color w:val="auto"/>
          <w:sz w:val="21"/>
          <w:szCs w:val="21"/>
          <w:highlight w:val="none"/>
        </w:rPr>
        <w:t>评标办法；</w:t>
      </w:r>
    </w:p>
    <w:p w14:paraId="1E68AF1E">
      <w:pPr>
        <w:pStyle w:val="11"/>
        <w:keepNext w:val="0"/>
        <w:keepLines w:val="0"/>
        <w:pageBreakBefore w:val="0"/>
        <w:widowControl w:val="0"/>
        <w:numPr>
          <w:ilvl w:val="0"/>
          <w:numId w:val="16"/>
        </w:numPr>
        <w:tabs>
          <w:tab w:val="left" w:pos="1080"/>
        </w:tabs>
        <w:kinsoku/>
        <w:wordWrap/>
        <w:overflowPunct/>
        <w:topLinePunct w:val="0"/>
        <w:autoSpaceDE/>
        <w:autoSpaceDN/>
        <w:bidi w:val="0"/>
        <w:adjustRightInd w:val="0"/>
        <w:snapToGrid w:val="0"/>
        <w:spacing w:after="0" w:line="460" w:lineRule="atLeast"/>
        <w:ind w:left="0" w:leftChars="0" w:firstLine="420" w:firstLineChars="200"/>
        <w:textAlignment w:val="auto"/>
        <w:rPr>
          <w:rFonts w:hint="eastAsia" w:ascii="宋体" w:hAnsi="宋体" w:eastAsia="宋体" w:cs="宋体"/>
          <w:b w:val="0"/>
          <w:color w:val="auto"/>
          <w:sz w:val="21"/>
          <w:szCs w:val="21"/>
          <w:highlight w:val="none"/>
        </w:rPr>
      </w:pPr>
      <w:r>
        <w:rPr>
          <w:rFonts w:hint="eastAsia" w:ascii="宋体" w:hAnsi="宋体" w:eastAsia="宋体" w:cs="宋体"/>
          <w:color w:val="auto"/>
          <w:sz w:val="21"/>
          <w:szCs w:val="21"/>
          <w:highlight w:val="none"/>
        </w:rPr>
        <w:t>合同条款及格式；</w:t>
      </w:r>
    </w:p>
    <w:p w14:paraId="31EBE3D2">
      <w:pPr>
        <w:pStyle w:val="11"/>
        <w:keepNext w:val="0"/>
        <w:keepLines w:val="0"/>
        <w:pageBreakBefore w:val="0"/>
        <w:widowControl w:val="0"/>
        <w:numPr>
          <w:ilvl w:val="0"/>
          <w:numId w:val="16"/>
        </w:numPr>
        <w:tabs>
          <w:tab w:val="left" w:pos="1080"/>
        </w:tabs>
        <w:kinsoku/>
        <w:wordWrap/>
        <w:overflowPunct/>
        <w:topLinePunct w:val="0"/>
        <w:autoSpaceDE/>
        <w:autoSpaceDN/>
        <w:bidi w:val="0"/>
        <w:adjustRightInd w:val="0"/>
        <w:snapToGrid w:val="0"/>
        <w:spacing w:after="0" w:line="460" w:lineRule="atLeast"/>
        <w:ind w:left="0" w:leftChars="0" w:firstLine="420" w:firstLineChars="200"/>
        <w:textAlignment w:val="auto"/>
        <w:rPr>
          <w:rFonts w:hint="eastAsia" w:ascii="宋体" w:hAnsi="宋体" w:eastAsia="宋体" w:cs="宋体"/>
          <w:b w:val="0"/>
          <w:color w:val="auto"/>
          <w:sz w:val="21"/>
          <w:szCs w:val="21"/>
          <w:highlight w:val="none"/>
        </w:rPr>
      </w:pPr>
      <w:r>
        <w:rPr>
          <w:rFonts w:hint="eastAsia" w:ascii="宋体" w:hAnsi="宋体" w:eastAsia="宋体" w:cs="宋体"/>
          <w:color w:val="auto"/>
          <w:sz w:val="21"/>
          <w:szCs w:val="21"/>
          <w:highlight w:val="none"/>
        </w:rPr>
        <w:t>招标需求；</w:t>
      </w:r>
    </w:p>
    <w:p w14:paraId="52B7AE99">
      <w:pPr>
        <w:pStyle w:val="11"/>
        <w:keepNext w:val="0"/>
        <w:keepLines w:val="0"/>
        <w:pageBreakBefore w:val="0"/>
        <w:widowControl w:val="0"/>
        <w:numPr>
          <w:ilvl w:val="0"/>
          <w:numId w:val="16"/>
        </w:numPr>
        <w:tabs>
          <w:tab w:val="left" w:pos="1080"/>
        </w:tabs>
        <w:kinsoku/>
        <w:wordWrap/>
        <w:overflowPunct/>
        <w:topLinePunct w:val="0"/>
        <w:autoSpaceDE/>
        <w:autoSpaceDN/>
        <w:bidi w:val="0"/>
        <w:adjustRightInd w:val="0"/>
        <w:snapToGrid w:val="0"/>
        <w:spacing w:after="0" w:line="460" w:lineRule="atLeast"/>
        <w:ind w:left="0" w:leftChars="0" w:firstLine="420" w:firstLineChars="200"/>
        <w:textAlignment w:val="auto"/>
        <w:rPr>
          <w:rFonts w:hint="eastAsia" w:ascii="宋体" w:hAnsi="宋体" w:eastAsia="宋体" w:cs="宋体"/>
          <w:b w:val="0"/>
          <w:color w:val="auto"/>
          <w:sz w:val="21"/>
          <w:szCs w:val="21"/>
          <w:highlight w:val="none"/>
        </w:rPr>
      </w:pPr>
      <w:r>
        <w:rPr>
          <w:rFonts w:hint="eastAsia" w:ascii="宋体" w:hAnsi="宋体" w:eastAsia="宋体" w:cs="宋体"/>
          <w:color w:val="auto"/>
          <w:sz w:val="21"/>
          <w:szCs w:val="21"/>
          <w:highlight w:val="none"/>
        </w:rPr>
        <w:t>投标文件格式；</w:t>
      </w:r>
    </w:p>
    <w:p w14:paraId="4008A4C4">
      <w:pPr>
        <w:pStyle w:val="11"/>
        <w:keepNext w:val="0"/>
        <w:keepLines w:val="0"/>
        <w:pageBreakBefore w:val="0"/>
        <w:widowControl w:val="0"/>
        <w:numPr>
          <w:ilvl w:val="0"/>
          <w:numId w:val="16"/>
        </w:numPr>
        <w:tabs>
          <w:tab w:val="left" w:pos="1080"/>
        </w:tabs>
        <w:kinsoku/>
        <w:wordWrap/>
        <w:overflowPunct/>
        <w:topLinePunct w:val="0"/>
        <w:autoSpaceDE/>
        <w:autoSpaceDN/>
        <w:bidi w:val="0"/>
        <w:adjustRightInd w:val="0"/>
        <w:snapToGrid w:val="0"/>
        <w:spacing w:after="0" w:line="460" w:lineRule="atLeast"/>
        <w:ind w:left="0" w:leftChars="0" w:firstLine="420" w:firstLineChars="200"/>
        <w:textAlignment w:val="auto"/>
        <w:rPr>
          <w:rFonts w:hint="eastAsia" w:ascii="宋体" w:hAnsi="宋体" w:eastAsia="宋体" w:cs="宋体"/>
          <w:b w:val="0"/>
          <w:color w:val="auto"/>
          <w:sz w:val="21"/>
          <w:szCs w:val="21"/>
          <w:highlight w:val="none"/>
        </w:rPr>
      </w:pPr>
      <w:r>
        <w:rPr>
          <w:rFonts w:hint="eastAsia" w:ascii="宋体" w:hAnsi="宋体" w:eastAsia="宋体" w:cs="宋体"/>
          <w:color w:val="auto"/>
          <w:sz w:val="21"/>
          <w:szCs w:val="21"/>
          <w:highlight w:val="none"/>
        </w:rPr>
        <w:t>其他材料 。</w:t>
      </w:r>
    </w:p>
    <w:p w14:paraId="17C3EE89">
      <w:pPr>
        <w:pStyle w:val="11"/>
        <w:keepNext w:val="0"/>
        <w:keepLines w:val="0"/>
        <w:pageBreakBefore w:val="0"/>
        <w:widowControl w:val="0"/>
        <w:numPr>
          <w:ilvl w:val="0"/>
          <w:numId w:val="15"/>
        </w:numPr>
        <w:tabs>
          <w:tab w:val="left" w:pos="1080"/>
          <w:tab w:val="clear" w:pos="210"/>
        </w:tabs>
        <w:kinsoku/>
        <w:wordWrap/>
        <w:overflowPunct/>
        <w:topLinePunct w:val="0"/>
        <w:autoSpaceDE/>
        <w:autoSpaceDN/>
        <w:bidi w:val="0"/>
        <w:adjustRightInd w:val="0"/>
        <w:snapToGrid w:val="0"/>
        <w:spacing w:after="0" w:line="460" w:lineRule="atLeast"/>
        <w:ind w:left="0" w:leftChars="0" w:firstLine="420" w:firstLineChars="200"/>
        <w:textAlignment w:val="auto"/>
        <w:rPr>
          <w:rFonts w:hint="eastAsia" w:ascii="宋体" w:hAnsi="宋体" w:eastAsia="宋体" w:cs="宋体"/>
          <w:b w:val="0"/>
          <w:color w:val="auto"/>
          <w:sz w:val="21"/>
          <w:szCs w:val="21"/>
          <w:highlight w:val="none"/>
        </w:rPr>
      </w:pPr>
      <w:r>
        <w:rPr>
          <w:rFonts w:hint="eastAsia" w:ascii="宋体" w:hAnsi="宋体" w:eastAsia="宋体" w:cs="宋体"/>
          <w:color w:val="auto"/>
          <w:sz w:val="21"/>
          <w:szCs w:val="21"/>
          <w:highlight w:val="none"/>
        </w:rPr>
        <w:t>根据本章第2.2款和第2.3款对招标文件所作的澄清、修改和公布的最高投标限价，构成招标文件的组成部分。当招标文件相互之间发生矛盾时，以后发出的文件为准。</w:t>
      </w:r>
    </w:p>
    <w:p w14:paraId="7EC51743">
      <w:pPr>
        <w:pStyle w:val="11"/>
        <w:keepNext w:val="0"/>
        <w:keepLines w:val="0"/>
        <w:pageBreakBefore w:val="0"/>
        <w:widowControl w:val="0"/>
        <w:kinsoku/>
        <w:wordWrap/>
        <w:overflowPunct/>
        <w:topLinePunct w:val="0"/>
        <w:autoSpaceDE/>
        <w:autoSpaceDN/>
        <w:bidi w:val="0"/>
        <w:adjustRightInd w:val="0"/>
        <w:snapToGrid w:val="0"/>
        <w:spacing w:after="0" w:line="460" w:lineRule="atLeast"/>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有关本次招标的事项若存在变动或修改，将以“补充公告（答疑）”形式在指定发布媒介发布，投标人应在开标前随时上网查阅，否则，其引起的相关后果由投标人自行负责。</w:t>
      </w:r>
    </w:p>
    <w:p w14:paraId="54813104">
      <w:pPr>
        <w:pStyle w:val="3"/>
        <w:keepNext w:val="0"/>
        <w:keepLines w:val="0"/>
        <w:pageBreakBefore w:val="0"/>
        <w:widowControl w:val="0"/>
        <w:numPr>
          <w:ilvl w:val="0"/>
          <w:numId w:val="14"/>
        </w:numPr>
        <w:tabs>
          <w:tab w:val="left" w:pos="861"/>
          <w:tab w:val="clear" w:pos="210"/>
        </w:tabs>
        <w:kinsoku/>
        <w:wordWrap/>
        <w:overflowPunct/>
        <w:topLinePunct w:val="0"/>
        <w:autoSpaceDE/>
        <w:autoSpaceDN/>
        <w:bidi w:val="0"/>
        <w:adjustRightInd w:val="0"/>
        <w:snapToGrid w:val="0"/>
        <w:spacing w:after="0" w:line="460" w:lineRule="atLeast"/>
        <w:ind w:left="0" w:leftChars="0" w:firstLine="422" w:firstLineChars="200"/>
        <w:textAlignment w:val="auto"/>
        <w:rPr>
          <w:rFonts w:hint="eastAsia" w:ascii="宋体" w:hAnsi="宋体" w:eastAsia="宋体" w:cs="宋体"/>
          <w:b/>
          <w:color w:val="auto"/>
          <w:sz w:val="21"/>
          <w:szCs w:val="21"/>
          <w:highlight w:val="none"/>
        </w:rPr>
      </w:pPr>
      <w:r>
        <w:rPr>
          <w:rFonts w:hint="eastAsia" w:ascii="宋体" w:hAnsi="宋体" w:eastAsia="宋体" w:cs="宋体"/>
          <w:color w:val="auto"/>
          <w:sz w:val="21"/>
          <w:szCs w:val="21"/>
          <w:highlight w:val="none"/>
        </w:rPr>
        <w:t>招标文件的澄清</w:t>
      </w:r>
    </w:p>
    <w:p w14:paraId="73CB0348">
      <w:pPr>
        <w:pStyle w:val="11"/>
        <w:keepNext w:val="0"/>
        <w:keepLines w:val="0"/>
        <w:pageBreakBefore w:val="0"/>
        <w:widowControl w:val="0"/>
        <w:numPr>
          <w:ilvl w:val="0"/>
          <w:numId w:val="17"/>
        </w:numPr>
        <w:tabs>
          <w:tab w:val="left" w:pos="1080"/>
          <w:tab w:val="clear" w:pos="210"/>
        </w:tabs>
        <w:kinsoku/>
        <w:wordWrap/>
        <w:overflowPunct/>
        <w:topLinePunct w:val="0"/>
        <w:autoSpaceDE/>
        <w:autoSpaceDN/>
        <w:bidi w:val="0"/>
        <w:adjustRightInd w:val="0"/>
        <w:snapToGrid w:val="0"/>
        <w:spacing w:after="0" w:line="460" w:lineRule="atLeast"/>
        <w:ind w:left="0" w:leftChars="0" w:firstLine="420" w:firstLineChars="200"/>
        <w:textAlignment w:val="auto"/>
        <w:rPr>
          <w:rFonts w:hint="eastAsia" w:ascii="宋体" w:hAnsi="宋体" w:eastAsia="宋体" w:cs="宋体"/>
          <w:b w:val="0"/>
          <w:color w:val="auto"/>
          <w:sz w:val="21"/>
          <w:szCs w:val="21"/>
          <w:highlight w:val="none"/>
        </w:rPr>
      </w:pPr>
      <w:r>
        <w:rPr>
          <w:rFonts w:hint="eastAsia" w:ascii="宋体" w:hAnsi="宋体" w:eastAsia="宋体" w:cs="宋体"/>
          <w:color w:val="auto"/>
          <w:sz w:val="21"/>
          <w:szCs w:val="21"/>
          <w:highlight w:val="none"/>
        </w:rPr>
        <w:t>投标人应仔细阅读和检查招标文件的全部内容。如发现缺页或附件不全，应及时向招标人提出，以便补齐。如有疑问，应在投标人须知前附表规定的时间和形式将提出的问题送达招标人，要求招标人对招标文件予以澄清。</w:t>
      </w:r>
    </w:p>
    <w:p w14:paraId="500CD6CD">
      <w:pPr>
        <w:pStyle w:val="11"/>
        <w:keepNext w:val="0"/>
        <w:keepLines w:val="0"/>
        <w:pageBreakBefore w:val="0"/>
        <w:widowControl w:val="0"/>
        <w:numPr>
          <w:ilvl w:val="0"/>
          <w:numId w:val="17"/>
        </w:numPr>
        <w:tabs>
          <w:tab w:val="left" w:pos="1080"/>
          <w:tab w:val="clear" w:pos="210"/>
        </w:tabs>
        <w:kinsoku/>
        <w:wordWrap/>
        <w:overflowPunct/>
        <w:topLinePunct w:val="0"/>
        <w:autoSpaceDE/>
        <w:autoSpaceDN/>
        <w:bidi w:val="0"/>
        <w:adjustRightInd w:val="0"/>
        <w:snapToGrid w:val="0"/>
        <w:spacing w:after="0" w:line="460" w:lineRule="atLeast"/>
        <w:ind w:left="0" w:leftChars="0" w:firstLine="420" w:firstLineChars="200"/>
        <w:textAlignment w:val="auto"/>
        <w:rPr>
          <w:rFonts w:hint="eastAsia" w:ascii="宋体" w:hAnsi="宋体" w:eastAsia="宋体" w:cs="宋体"/>
          <w:b w:val="0"/>
          <w:color w:val="auto"/>
          <w:sz w:val="21"/>
          <w:szCs w:val="21"/>
          <w:highlight w:val="none"/>
        </w:rPr>
      </w:pPr>
      <w:r>
        <w:rPr>
          <w:rFonts w:hint="eastAsia" w:ascii="宋体" w:hAnsi="宋体" w:eastAsia="宋体" w:cs="宋体"/>
          <w:color w:val="auto"/>
          <w:sz w:val="21"/>
          <w:szCs w:val="21"/>
          <w:highlight w:val="none"/>
        </w:rPr>
        <w:t>招标文件的澄清以“补充答疑”的形式在投标人须知前附表规定的媒介发布，但不指明澄清问题的来源。澄清发出的时间要求见投标人须知前附表规定。</w:t>
      </w:r>
    </w:p>
    <w:p w14:paraId="5697A35F">
      <w:pPr>
        <w:pStyle w:val="11"/>
        <w:keepNext w:val="0"/>
        <w:keepLines w:val="0"/>
        <w:pageBreakBefore w:val="0"/>
        <w:widowControl w:val="0"/>
        <w:numPr>
          <w:ilvl w:val="0"/>
          <w:numId w:val="17"/>
        </w:numPr>
        <w:tabs>
          <w:tab w:val="left" w:pos="1080"/>
          <w:tab w:val="clear" w:pos="210"/>
        </w:tabs>
        <w:kinsoku/>
        <w:wordWrap/>
        <w:overflowPunct/>
        <w:topLinePunct w:val="0"/>
        <w:autoSpaceDE/>
        <w:autoSpaceDN/>
        <w:bidi w:val="0"/>
        <w:adjustRightInd w:val="0"/>
        <w:snapToGrid w:val="0"/>
        <w:spacing w:after="0" w:line="460" w:lineRule="atLeast"/>
        <w:ind w:left="0" w:leftChars="0" w:firstLine="420" w:firstLineChars="200"/>
        <w:textAlignment w:val="auto"/>
        <w:rPr>
          <w:rFonts w:hint="eastAsia" w:ascii="宋体" w:hAnsi="宋体" w:eastAsia="宋体" w:cs="宋体"/>
          <w:b w:val="0"/>
          <w:color w:val="auto"/>
          <w:sz w:val="21"/>
          <w:szCs w:val="21"/>
          <w:highlight w:val="none"/>
        </w:rPr>
      </w:pPr>
      <w:r>
        <w:rPr>
          <w:rFonts w:hint="eastAsia" w:ascii="宋体" w:hAnsi="宋体" w:eastAsia="宋体" w:cs="宋体"/>
          <w:color w:val="auto"/>
          <w:sz w:val="21"/>
          <w:szCs w:val="21"/>
          <w:highlight w:val="none"/>
        </w:rPr>
        <w:t>投标人确认收到招标文件澄清见投标人须知前附表规定。</w:t>
      </w:r>
    </w:p>
    <w:p w14:paraId="345BDB6C">
      <w:pPr>
        <w:pStyle w:val="3"/>
        <w:keepNext w:val="0"/>
        <w:keepLines w:val="0"/>
        <w:pageBreakBefore w:val="0"/>
        <w:widowControl w:val="0"/>
        <w:numPr>
          <w:ilvl w:val="0"/>
          <w:numId w:val="14"/>
        </w:numPr>
        <w:tabs>
          <w:tab w:val="left" w:pos="861"/>
          <w:tab w:val="clear" w:pos="210"/>
        </w:tabs>
        <w:kinsoku/>
        <w:wordWrap/>
        <w:overflowPunct/>
        <w:topLinePunct w:val="0"/>
        <w:autoSpaceDE/>
        <w:autoSpaceDN/>
        <w:bidi w:val="0"/>
        <w:adjustRightInd w:val="0"/>
        <w:snapToGrid w:val="0"/>
        <w:spacing w:after="0" w:line="460" w:lineRule="atLeast"/>
        <w:ind w:left="0" w:leftChars="0" w:firstLine="422" w:firstLineChars="200"/>
        <w:textAlignment w:val="auto"/>
        <w:rPr>
          <w:rFonts w:hint="eastAsia" w:ascii="宋体" w:hAnsi="宋体" w:eastAsia="宋体" w:cs="宋体"/>
          <w:b/>
          <w:color w:val="auto"/>
          <w:sz w:val="21"/>
          <w:szCs w:val="21"/>
          <w:highlight w:val="none"/>
        </w:rPr>
      </w:pPr>
      <w:r>
        <w:rPr>
          <w:rFonts w:hint="eastAsia" w:ascii="宋体" w:hAnsi="宋体" w:eastAsia="宋体" w:cs="宋体"/>
          <w:color w:val="auto"/>
          <w:sz w:val="21"/>
          <w:szCs w:val="21"/>
          <w:highlight w:val="none"/>
        </w:rPr>
        <w:t>招标文件的修改</w:t>
      </w:r>
    </w:p>
    <w:p w14:paraId="0F276186">
      <w:pPr>
        <w:pStyle w:val="11"/>
        <w:keepNext w:val="0"/>
        <w:keepLines w:val="0"/>
        <w:pageBreakBefore w:val="0"/>
        <w:widowControl w:val="0"/>
        <w:numPr>
          <w:ilvl w:val="0"/>
          <w:numId w:val="18"/>
        </w:numPr>
        <w:tabs>
          <w:tab w:val="left" w:pos="1080"/>
          <w:tab w:val="clear" w:pos="210"/>
        </w:tabs>
        <w:kinsoku/>
        <w:wordWrap/>
        <w:overflowPunct/>
        <w:topLinePunct w:val="0"/>
        <w:autoSpaceDE/>
        <w:autoSpaceDN/>
        <w:bidi w:val="0"/>
        <w:adjustRightInd w:val="0"/>
        <w:snapToGrid w:val="0"/>
        <w:spacing w:after="0" w:line="460" w:lineRule="atLeast"/>
        <w:ind w:left="0" w:leftChars="0" w:firstLine="420" w:firstLineChars="200"/>
        <w:textAlignment w:val="auto"/>
        <w:rPr>
          <w:rFonts w:hint="eastAsia" w:ascii="宋体" w:hAnsi="宋体" w:eastAsia="宋体" w:cs="宋体"/>
          <w:b w:val="0"/>
          <w:color w:val="auto"/>
          <w:sz w:val="21"/>
          <w:szCs w:val="21"/>
          <w:highlight w:val="none"/>
        </w:rPr>
      </w:pPr>
      <w:r>
        <w:rPr>
          <w:rFonts w:hint="eastAsia" w:ascii="宋体" w:hAnsi="宋体" w:eastAsia="宋体" w:cs="宋体"/>
          <w:color w:val="auto"/>
          <w:sz w:val="21"/>
          <w:szCs w:val="21"/>
          <w:highlight w:val="none"/>
        </w:rPr>
        <w:t>招标人可以以“补充答疑”的形式修改招标文件，其发布媒介和时间见投标人须知前附表规定。</w:t>
      </w:r>
    </w:p>
    <w:p w14:paraId="5A9B00F9">
      <w:pPr>
        <w:pStyle w:val="11"/>
        <w:keepNext w:val="0"/>
        <w:keepLines w:val="0"/>
        <w:pageBreakBefore w:val="0"/>
        <w:widowControl w:val="0"/>
        <w:numPr>
          <w:ilvl w:val="0"/>
          <w:numId w:val="18"/>
        </w:numPr>
        <w:tabs>
          <w:tab w:val="left" w:pos="1080"/>
          <w:tab w:val="clear" w:pos="210"/>
        </w:tabs>
        <w:kinsoku/>
        <w:wordWrap/>
        <w:overflowPunct/>
        <w:topLinePunct w:val="0"/>
        <w:autoSpaceDE/>
        <w:autoSpaceDN/>
        <w:bidi w:val="0"/>
        <w:adjustRightInd w:val="0"/>
        <w:snapToGrid w:val="0"/>
        <w:spacing w:after="0" w:line="460" w:lineRule="atLeast"/>
        <w:ind w:left="0" w:leftChars="0" w:firstLine="420" w:firstLineChars="200"/>
        <w:textAlignment w:val="auto"/>
        <w:rPr>
          <w:rFonts w:hint="eastAsia" w:ascii="宋体" w:hAnsi="宋体" w:eastAsia="宋体" w:cs="宋体"/>
          <w:b w:val="0"/>
          <w:color w:val="auto"/>
          <w:sz w:val="21"/>
          <w:szCs w:val="21"/>
          <w:highlight w:val="none"/>
        </w:rPr>
      </w:pPr>
      <w:r>
        <w:rPr>
          <w:rFonts w:hint="eastAsia" w:ascii="宋体" w:hAnsi="宋体" w:eastAsia="宋体" w:cs="宋体"/>
          <w:color w:val="auto"/>
          <w:sz w:val="21"/>
          <w:szCs w:val="21"/>
          <w:highlight w:val="none"/>
        </w:rPr>
        <w:t>投标人确认收到招标文件修改见投标人须知前附表规定。</w:t>
      </w:r>
    </w:p>
    <w:p w14:paraId="340DB95F">
      <w:pPr>
        <w:pStyle w:val="3"/>
        <w:keepNext w:val="0"/>
        <w:keepLines w:val="0"/>
        <w:pageBreakBefore w:val="0"/>
        <w:widowControl w:val="0"/>
        <w:numPr>
          <w:ilvl w:val="0"/>
          <w:numId w:val="14"/>
        </w:numPr>
        <w:tabs>
          <w:tab w:val="left" w:pos="861"/>
          <w:tab w:val="clear" w:pos="210"/>
        </w:tabs>
        <w:kinsoku/>
        <w:wordWrap/>
        <w:overflowPunct/>
        <w:topLinePunct w:val="0"/>
        <w:autoSpaceDE/>
        <w:autoSpaceDN/>
        <w:bidi w:val="0"/>
        <w:adjustRightInd w:val="0"/>
        <w:snapToGrid w:val="0"/>
        <w:spacing w:after="0" w:line="460" w:lineRule="atLeast"/>
        <w:ind w:left="0" w:leftChars="0" w:firstLine="422" w:firstLineChars="200"/>
        <w:textAlignment w:val="auto"/>
        <w:rPr>
          <w:rFonts w:hint="eastAsia" w:ascii="宋体" w:hAnsi="宋体" w:eastAsia="宋体" w:cs="宋体"/>
          <w:b/>
          <w:color w:val="auto"/>
          <w:sz w:val="21"/>
          <w:szCs w:val="21"/>
          <w:highlight w:val="none"/>
        </w:rPr>
      </w:pPr>
      <w:r>
        <w:rPr>
          <w:rFonts w:hint="eastAsia" w:ascii="宋体" w:hAnsi="宋体" w:eastAsia="宋体" w:cs="宋体"/>
          <w:color w:val="auto"/>
          <w:sz w:val="21"/>
          <w:szCs w:val="21"/>
          <w:highlight w:val="none"/>
        </w:rPr>
        <w:t>招标文件的异议</w:t>
      </w:r>
    </w:p>
    <w:p w14:paraId="1BB54205">
      <w:pPr>
        <w:pStyle w:val="11"/>
        <w:keepNext w:val="0"/>
        <w:keepLines w:val="0"/>
        <w:pageBreakBefore w:val="0"/>
        <w:widowControl w:val="0"/>
        <w:kinsoku/>
        <w:wordWrap/>
        <w:overflowPunct/>
        <w:topLinePunct w:val="0"/>
        <w:autoSpaceDE/>
        <w:autoSpaceDN/>
        <w:bidi w:val="0"/>
        <w:adjustRightInd w:val="0"/>
        <w:snapToGrid w:val="0"/>
        <w:spacing w:after="0" w:line="460" w:lineRule="atLeast"/>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投标人或者其他利害关系人对招标文件有异议的，应按投标人须知前附表规定的时间和形式提出。</w:t>
      </w:r>
    </w:p>
    <w:p w14:paraId="3D325069">
      <w:pPr>
        <w:pStyle w:val="2"/>
        <w:keepNext w:val="0"/>
        <w:keepLines w:val="0"/>
        <w:pageBreakBefore w:val="0"/>
        <w:widowControl w:val="0"/>
        <w:numPr>
          <w:ilvl w:val="0"/>
          <w:numId w:val="4"/>
        </w:numPr>
        <w:tabs>
          <w:tab w:val="left" w:pos="962"/>
          <w:tab w:val="clear" w:pos="210"/>
        </w:tabs>
        <w:kinsoku/>
        <w:wordWrap/>
        <w:overflowPunct/>
        <w:topLinePunct w:val="0"/>
        <w:autoSpaceDE/>
        <w:autoSpaceDN/>
        <w:bidi w:val="0"/>
        <w:adjustRightInd w:val="0"/>
        <w:snapToGrid w:val="0"/>
        <w:spacing w:before="0" w:beforeLines="0" w:after="0" w:line="460" w:lineRule="atLeast"/>
        <w:ind w:left="0" w:leftChars="0" w:firstLine="422" w:firstLineChars="200"/>
        <w:textAlignment w:val="auto"/>
        <w:rPr>
          <w:rFonts w:hint="eastAsia" w:ascii="宋体" w:hAnsi="宋体" w:eastAsia="宋体" w:cs="宋体"/>
          <w:b/>
          <w:color w:val="auto"/>
          <w:sz w:val="21"/>
          <w:szCs w:val="21"/>
          <w:highlight w:val="none"/>
        </w:rPr>
      </w:pPr>
      <w:bookmarkStart w:id="24" w:name="heading_17"/>
      <w:r>
        <w:rPr>
          <w:rFonts w:hint="eastAsia" w:ascii="宋体" w:hAnsi="宋体" w:eastAsia="宋体" w:cs="宋体"/>
          <w:color w:val="auto"/>
          <w:sz w:val="21"/>
          <w:szCs w:val="21"/>
          <w:highlight w:val="none"/>
        </w:rPr>
        <w:t>投标文件</w:t>
      </w:r>
      <w:bookmarkEnd w:id="24"/>
    </w:p>
    <w:p w14:paraId="3F14B78E">
      <w:pPr>
        <w:pStyle w:val="3"/>
        <w:keepNext w:val="0"/>
        <w:keepLines w:val="0"/>
        <w:pageBreakBefore w:val="0"/>
        <w:widowControl w:val="0"/>
        <w:numPr>
          <w:ilvl w:val="0"/>
          <w:numId w:val="19"/>
        </w:numPr>
        <w:tabs>
          <w:tab w:val="left" w:pos="861"/>
          <w:tab w:val="clear" w:pos="210"/>
        </w:tabs>
        <w:kinsoku/>
        <w:wordWrap/>
        <w:overflowPunct/>
        <w:topLinePunct w:val="0"/>
        <w:autoSpaceDE/>
        <w:autoSpaceDN/>
        <w:bidi w:val="0"/>
        <w:adjustRightInd w:val="0"/>
        <w:snapToGrid w:val="0"/>
        <w:spacing w:after="0" w:line="460" w:lineRule="atLeast"/>
        <w:ind w:left="0" w:leftChars="0" w:firstLine="422" w:firstLineChars="200"/>
        <w:textAlignment w:val="auto"/>
        <w:rPr>
          <w:rFonts w:hint="eastAsia" w:ascii="宋体" w:hAnsi="宋体" w:eastAsia="宋体" w:cs="宋体"/>
          <w:b/>
          <w:color w:val="auto"/>
          <w:sz w:val="21"/>
          <w:szCs w:val="21"/>
          <w:highlight w:val="none"/>
        </w:rPr>
      </w:pPr>
      <w:r>
        <w:rPr>
          <w:rFonts w:hint="eastAsia" w:ascii="宋体" w:hAnsi="宋体" w:eastAsia="宋体" w:cs="宋体"/>
          <w:color w:val="auto"/>
          <w:sz w:val="21"/>
          <w:szCs w:val="21"/>
          <w:highlight w:val="none"/>
        </w:rPr>
        <w:t>投标文件的组成</w:t>
      </w:r>
    </w:p>
    <w:p w14:paraId="37CA1A10">
      <w:pPr>
        <w:pStyle w:val="11"/>
        <w:keepNext w:val="0"/>
        <w:keepLines w:val="0"/>
        <w:pageBreakBefore w:val="0"/>
        <w:widowControl w:val="0"/>
        <w:kinsoku/>
        <w:wordWrap/>
        <w:overflowPunct/>
        <w:topLinePunct w:val="0"/>
        <w:autoSpaceDE/>
        <w:autoSpaceDN/>
        <w:bidi w:val="0"/>
        <w:adjustRightInd w:val="0"/>
        <w:snapToGrid w:val="0"/>
        <w:spacing w:after="0" w:line="460" w:lineRule="atLeast"/>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本项目投标文件正本壹份，副本叁份，备份文件壹份。投标文件至少包含以下内容：</w:t>
      </w:r>
    </w:p>
    <w:p w14:paraId="1CF67506">
      <w:pPr>
        <w:pStyle w:val="11"/>
        <w:keepNext w:val="0"/>
        <w:keepLines w:val="0"/>
        <w:pageBreakBefore w:val="0"/>
        <w:widowControl w:val="0"/>
        <w:numPr>
          <w:ilvl w:val="0"/>
          <w:numId w:val="20"/>
        </w:numPr>
        <w:tabs>
          <w:tab w:val="left" w:pos="960"/>
        </w:tabs>
        <w:kinsoku/>
        <w:wordWrap/>
        <w:overflowPunct/>
        <w:topLinePunct w:val="0"/>
        <w:autoSpaceDE/>
        <w:autoSpaceDN/>
        <w:bidi w:val="0"/>
        <w:adjustRightInd w:val="0"/>
        <w:snapToGrid w:val="0"/>
        <w:spacing w:after="0" w:line="460" w:lineRule="atLeast"/>
        <w:ind w:left="0" w:leftChars="0" w:firstLine="420" w:firstLineChars="200"/>
        <w:textAlignment w:val="auto"/>
        <w:rPr>
          <w:rFonts w:hint="eastAsia" w:ascii="宋体" w:hAnsi="宋体" w:eastAsia="宋体" w:cs="宋体"/>
          <w:b w:val="0"/>
          <w:color w:val="auto"/>
          <w:sz w:val="21"/>
          <w:szCs w:val="21"/>
          <w:highlight w:val="none"/>
        </w:rPr>
      </w:pPr>
      <w:r>
        <w:rPr>
          <w:rFonts w:hint="eastAsia" w:ascii="宋体" w:hAnsi="宋体" w:eastAsia="宋体" w:cs="宋体"/>
          <w:color w:val="auto"/>
          <w:sz w:val="21"/>
          <w:szCs w:val="21"/>
          <w:highlight w:val="none"/>
        </w:rPr>
        <w:t>投标文件封面</w:t>
      </w:r>
    </w:p>
    <w:p w14:paraId="35E2DF6A">
      <w:pPr>
        <w:pStyle w:val="11"/>
        <w:keepNext w:val="0"/>
        <w:keepLines w:val="0"/>
        <w:pageBreakBefore w:val="0"/>
        <w:widowControl w:val="0"/>
        <w:numPr>
          <w:ilvl w:val="0"/>
          <w:numId w:val="20"/>
        </w:numPr>
        <w:tabs>
          <w:tab w:val="left" w:pos="960"/>
        </w:tabs>
        <w:kinsoku/>
        <w:wordWrap/>
        <w:overflowPunct/>
        <w:topLinePunct w:val="0"/>
        <w:autoSpaceDE/>
        <w:autoSpaceDN/>
        <w:bidi w:val="0"/>
        <w:adjustRightInd w:val="0"/>
        <w:snapToGrid w:val="0"/>
        <w:spacing w:after="0" w:line="460" w:lineRule="atLeast"/>
        <w:ind w:left="0" w:leftChars="0" w:firstLine="420" w:firstLineChars="200"/>
        <w:textAlignment w:val="auto"/>
        <w:rPr>
          <w:rFonts w:hint="eastAsia" w:ascii="宋体" w:hAnsi="宋体" w:eastAsia="宋体" w:cs="宋体"/>
          <w:b w:val="0"/>
          <w:color w:val="auto"/>
          <w:sz w:val="21"/>
          <w:szCs w:val="21"/>
          <w:highlight w:val="none"/>
        </w:rPr>
      </w:pPr>
      <w:r>
        <w:rPr>
          <w:rFonts w:hint="eastAsia" w:ascii="宋体" w:hAnsi="宋体" w:eastAsia="宋体" w:cs="宋体"/>
          <w:color w:val="auto"/>
          <w:sz w:val="21"/>
          <w:szCs w:val="21"/>
          <w:highlight w:val="none"/>
        </w:rPr>
        <w:t>投标函</w:t>
      </w:r>
    </w:p>
    <w:p w14:paraId="1B8816CB">
      <w:pPr>
        <w:pStyle w:val="11"/>
        <w:keepNext w:val="0"/>
        <w:keepLines w:val="0"/>
        <w:pageBreakBefore w:val="0"/>
        <w:widowControl w:val="0"/>
        <w:numPr>
          <w:ilvl w:val="0"/>
          <w:numId w:val="20"/>
        </w:numPr>
        <w:tabs>
          <w:tab w:val="left" w:pos="960"/>
        </w:tabs>
        <w:kinsoku/>
        <w:wordWrap/>
        <w:overflowPunct/>
        <w:topLinePunct w:val="0"/>
        <w:autoSpaceDE/>
        <w:autoSpaceDN/>
        <w:bidi w:val="0"/>
        <w:adjustRightInd w:val="0"/>
        <w:snapToGrid w:val="0"/>
        <w:spacing w:after="0" w:line="460" w:lineRule="atLeast"/>
        <w:ind w:left="0" w:leftChars="0" w:firstLine="420" w:firstLineChars="200"/>
        <w:textAlignment w:val="auto"/>
        <w:rPr>
          <w:rFonts w:hint="eastAsia" w:ascii="宋体" w:hAnsi="宋体" w:eastAsia="宋体" w:cs="宋体"/>
          <w:b w:val="0"/>
          <w:color w:val="auto"/>
          <w:sz w:val="21"/>
          <w:szCs w:val="21"/>
          <w:highlight w:val="none"/>
        </w:rPr>
      </w:pPr>
      <w:r>
        <w:rPr>
          <w:rFonts w:hint="eastAsia" w:ascii="宋体" w:hAnsi="宋体" w:eastAsia="宋体" w:cs="宋体"/>
          <w:color w:val="auto"/>
          <w:sz w:val="21"/>
          <w:szCs w:val="21"/>
          <w:highlight w:val="none"/>
        </w:rPr>
        <w:t>法定代表人身份证明</w:t>
      </w:r>
    </w:p>
    <w:p w14:paraId="455A4CAB">
      <w:pPr>
        <w:pStyle w:val="11"/>
        <w:keepNext w:val="0"/>
        <w:keepLines w:val="0"/>
        <w:pageBreakBefore w:val="0"/>
        <w:widowControl w:val="0"/>
        <w:numPr>
          <w:ilvl w:val="0"/>
          <w:numId w:val="20"/>
        </w:numPr>
        <w:tabs>
          <w:tab w:val="left" w:pos="960"/>
        </w:tabs>
        <w:kinsoku/>
        <w:wordWrap/>
        <w:overflowPunct/>
        <w:topLinePunct w:val="0"/>
        <w:autoSpaceDE/>
        <w:autoSpaceDN/>
        <w:bidi w:val="0"/>
        <w:adjustRightInd w:val="0"/>
        <w:snapToGrid w:val="0"/>
        <w:spacing w:after="0" w:line="460" w:lineRule="atLeast"/>
        <w:ind w:left="0" w:leftChars="0" w:firstLine="420" w:firstLineChars="200"/>
        <w:textAlignment w:val="auto"/>
        <w:rPr>
          <w:rFonts w:hint="eastAsia" w:ascii="宋体" w:hAnsi="宋体" w:eastAsia="宋体" w:cs="宋体"/>
          <w:b w:val="0"/>
          <w:color w:val="auto"/>
          <w:sz w:val="21"/>
          <w:szCs w:val="21"/>
          <w:highlight w:val="none"/>
        </w:rPr>
      </w:pPr>
      <w:r>
        <w:rPr>
          <w:rFonts w:hint="eastAsia" w:ascii="宋体" w:hAnsi="宋体" w:eastAsia="宋体" w:cs="宋体"/>
          <w:color w:val="auto"/>
          <w:sz w:val="21"/>
          <w:szCs w:val="21"/>
          <w:highlight w:val="none"/>
        </w:rPr>
        <w:t>授权委托书（如有授权）</w:t>
      </w:r>
    </w:p>
    <w:p w14:paraId="2C8DA0DD">
      <w:pPr>
        <w:pStyle w:val="11"/>
        <w:keepNext w:val="0"/>
        <w:keepLines w:val="0"/>
        <w:pageBreakBefore w:val="0"/>
        <w:widowControl w:val="0"/>
        <w:numPr>
          <w:ilvl w:val="0"/>
          <w:numId w:val="20"/>
        </w:numPr>
        <w:tabs>
          <w:tab w:val="left" w:pos="960"/>
        </w:tabs>
        <w:kinsoku/>
        <w:wordWrap/>
        <w:overflowPunct/>
        <w:topLinePunct w:val="0"/>
        <w:autoSpaceDE/>
        <w:autoSpaceDN/>
        <w:bidi w:val="0"/>
        <w:adjustRightInd w:val="0"/>
        <w:snapToGrid w:val="0"/>
        <w:spacing w:after="0" w:line="460" w:lineRule="atLeast"/>
        <w:ind w:left="0" w:leftChars="0" w:firstLine="420" w:firstLineChars="200"/>
        <w:textAlignment w:val="auto"/>
        <w:rPr>
          <w:rFonts w:hint="eastAsia" w:ascii="宋体" w:hAnsi="宋体" w:eastAsia="宋体" w:cs="宋体"/>
          <w:b w:val="0"/>
          <w:color w:val="auto"/>
          <w:sz w:val="21"/>
          <w:szCs w:val="21"/>
          <w:highlight w:val="none"/>
        </w:rPr>
      </w:pPr>
      <w:r>
        <w:rPr>
          <w:rFonts w:hint="eastAsia" w:ascii="宋体" w:hAnsi="宋体" w:eastAsia="宋体" w:cs="宋体"/>
          <w:color w:val="auto"/>
          <w:sz w:val="21"/>
          <w:szCs w:val="21"/>
          <w:highlight w:val="none"/>
        </w:rPr>
        <w:t>资格审查资料</w:t>
      </w:r>
    </w:p>
    <w:p w14:paraId="7CE2B5A3">
      <w:pPr>
        <w:pStyle w:val="11"/>
        <w:keepNext w:val="0"/>
        <w:keepLines w:val="0"/>
        <w:pageBreakBefore w:val="0"/>
        <w:widowControl w:val="0"/>
        <w:numPr>
          <w:ilvl w:val="0"/>
          <w:numId w:val="0"/>
        </w:numPr>
        <w:tabs>
          <w:tab w:val="left" w:pos="780"/>
        </w:tabs>
        <w:kinsoku/>
        <w:wordWrap/>
        <w:overflowPunct/>
        <w:topLinePunct w:val="0"/>
        <w:autoSpaceDE/>
        <w:autoSpaceDN/>
        <w:bidi w:val="0"/>
        <w:adjustRightInd w:val="0"/>
        <w:snapToGrid w:val="0"/>
        <w:spacing w:after="0" w:line="460" w:lineRule="atLeast"/>
        <w:ind w:leftChars="200" w:firstLine="210" w:firstLineChars="1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投标人有效的营业执照复印件（加盖投标单位公章）；</w:t>
      </w:r>
    </w:p>
    <w:p w14:paraId="61C899CD">
      <w:pPr>
        <w:pStyle w:val="11"/>
        <w:keepNext w:val="0"/>
        <w:keepLines w:val="0"/>
        <w:pageBreakBefore w:val="0"/>
        <w:widowControl w:val="0"/>
        <w:numPr>
          <w:ilvl w:val="0"/>
          <w:numId w:val="0"/>
        </w:numPr>
        <w:tabs>
          <w:tab w:val="left" w:pos="780"/>
        </w:tabs>
        <w:kinsoku/>
        <w:wordWrap/>
        <w:overflowPunct/>
        <w:topLinePunct w:val="0"/>
        <w:autoSpaceDE/>
        <w:autoSpaceDN/>
        <w:bidi w:val="0"/>
        <w:adjustRightInd w:val="0"/>
        <w:snapToGrid w:val="0"/>
        <w:spacing w:after="0" w:line="460" w:lineRule="atLeast"/>
        <w:ind w:leftChars="200" w:firstLine="210" w:firstLineChars="1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投标人有效的资质证书、安全生产许可证复印件（加盖投标单位公章）；</w:t>
      </w:r>
    </w:p>
    <w:p w14:paraId="1657CBA1">
      <w:pPr>
        <w:pStyle w:val="11"/>
        <w:keepNext w:val="0"/>
        <w:keepLines w:val="0"/>
        <w:pageBreakBefore w:val="0"/>
        <w:widowControl w:val="0"/>
        <w:numPr>
          <w:ilvl w:val="0"/>
          <w:numId w:val="0"/>
        </w:numPr>
        <w:tabs>
          <w:tab w:val="left" w:pos="780"/>
        </w:tabs>
        <w:kinsoku/>
        <w:wordWrap/>
        <w:overflowPunct/>
        <w:topLinePunct w:val="0"/>
        <w:autoSpaceDE/>
        <w:autoSpaceDN/>
        <w:bidi w:val="0"/>
        <w:adjustRightInd w:val="0"/>
        <w:snapToGrid w:val="0"/>
        <w:spacing w:after="0" w:line="460" w:lineRule="atLeast"/>
        <w:ind w:leftChars="200" w:firstLine="210" w:firstLineChars="1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项目负责人有效的</w:t>
      </w:r>
      <w:r>
        <w:rPr>
          <w:rFonts w:hint="eastAsia" w:ascii="宋体" w:hAnsi="宋体" w:cs="宋体"/>
          <w:color w:val="auto"/>
          <w:sz w:val="21"/>
          <w:szCs w:val="21"/>
          <w:highlight w:val="none"/>
          <w:lang w:val="en-US" w:eastAsia="zh-CN"/>
        </w:rPr>
        <w:t>建造师</w:t>
      </w:r>
      <w:r>
        <w:rPr>
          <w:rFonts w:hint="eastAsia" w:ascii="宋体" w:hAnsi="宋体" w:eastAsia="宋体" w:cs="宋体"/>
          <w:color w:val="auto"/>
          <w:sz w:val="21"/>
          <w:szCs w:val="21"/>
          <w:highlight w:val="none"/>
        </w:rPr>
        <w:t>证书</w:t>
      </w:r>
      <w:r>
        <w:rPr>
          <w:rFonts w:hint="eastAsia" w:ascii="宋体" w:hAnsi="宋体" w:cs="宋体"/>
          <w:color w:val="auto"/>
          <w:sz w:val="21"/>
          <w:szCs w:val="21"/>
          <w:highlight w:val="none"/>
          <w:lang w:val="en-US" w:eastAsia="zh-CN"/>
        </w:rPr>
        <w:t>和安全生产考核合格证书(B类)</w:t>
      </w:r>
      <w:r>
        <w:rPr>
          <w:rFonts w:hint="eastAsia" w:ascii="宋体" w:hAnsi="宋体" w:eastAsia="宋体" w:cs="宋体"/>
          <w:color w:val="auto"/>
          <w:sz w:val="21"/>
          <w:szCs w:val="21"/>
          <w:highlight w:val="none"/>
        </w:rPr>
        <w:t>复印件（加盖投标单位公章）；</w:t>
      </w:r>
    </w:p>
    <w:p w14:paraId="13BF916F">
      <w:pPr>
        <w:pStyle w:val="11"/>
        <w:keepNext w:val="0"/>
        <w:keepLines w:val="0"/>
        <w:pageBreakBefore w:val="0"/>
        <w:widowControl w:val="0"/>
        <w:numPr>
          <w:ilvl w:val="0"/>
          <w:numId w:val="20"/>
        </w:numPr>
        <w:tabs>
          <w:tab w:val="left" w:pos="960"/>
        </w:tabs>
        <w:kinsoku/>
        <w:wordWrap/>
        <w:overflowPunct/>
        <w:topLinePunct w:val="0"/>
        <w:autoSpaceDE/>
        <w:autoSpaceDN/>
        <w:bidi w:val="0"/>
        <w:adjustRightInd w:val="0"/>
        <w:snapToGrid w:val="0"/>
        <w:spacing w:after="0" w:line="460" w:lineRule="atLeast"/>
        <w:ind w:left="0" w:leftChars="0" w:firstLine="420" w:firstLineChars="200"/>
        <w:textAlignment w:val="auto"/>
        <w:rPr>
          <w:rFonts w:hint="eastAsia" w:ascii="宋体" w:hAnsi="宋体" w:eastAsia="宋体" w:cs="宋体"/>
          <w:b w:val="0"/>
          <w:color w:val="auto"/>
          <w:sz w:val="21"/>
          <w:szCs w:val="21"/>
          <w:highlight w:val="none"/>
        </w:rPr>
      </w:pPr>
      <w:r>
        <w:rPr>
          <w:rFonts w:hint="eastAsia" w:ascii="宋体" w:hAnsi="宋体" w:eastAsia="宋体" w:cs="宋体"/>
          <w:b w:val="0"/>
          <w:bCs w:val="0"/>
          <w:color w:val="auto"/>
          <w:sz w:val="21"/>
          <w:szCs w:val="21"/>
          <w:highlight w:val="none"/>
        </w:rPr>
        <w:t>投标报价表：</w:t>
      </w:r>
      <w:r>
        <w:rPr>
          <w:rFonts w:hint="eastAsia" w:ascii="宋体" w:hAnsi="宋体" w:eastAsia="宋体" w:cs="宋体"/>
          <w:color w:val="auto"/>
          <w:sz w:val="21"/>
          <w:szCs w:val="21"/>
          <w:highlight w:val="none"/>
        </w:rPr>
        <w:t>投标报价表必须按照招标文件所提供的格式填入，报价为</w:t>
      </w:r>
      <w:r>
        <w:rPr>
          <w:rFonts w:hint="eastAsia" w:ascii="宋体" w:hAnsi="宋体" w:cs="宋体"/>
          <w:color w:val="auto"/>
          <w:sz w:val="21"/>
          <w:szCs w:val="21"/>
          <w:highlight w:val="none"/>
          <w:lang w:val="en-US" w:eastAsia="zh-CN"/>
        </w:rPr>
        <w:t>全费用综合单价</w:t>
      </w:r>
      <w:r>
        <w:rPr>
          <w:rFonts w:hint="eastAsia" w:ascii="宋体" w:hAnsi="宋体" w:eastAsia="宋体" w:cs="宋体"/>
          <w:color w:val="auto"/>
          <w:sz w:val="21"/>
          <w:szCs w:val="21"/>
          <w:highlight w:val="none"/>
        </w:rPr>
        <w:t>，包含招标范围所有工作内容的全部费用，报价缺项的视为该项报价优惠，结算时不予增补。其格式中的服务名称、技术标准及要求、单位、数量等要求，投标人在投标报价时不得作任何更改变动，否则一切责任由投标单位自负。如果投标人认为内容有误或遗漏，只能通过答疑的方式由招标人统一修改更正。</w:t>
      </w:r>
    </w:p>
    <w:p w14:paraId="6D60DB18">
      <w:pPr>
        <w:pStyle w:val="11"/>
        <w:keepNext w:val="0"/>
        <w:keepLines w:val="0"/>
        <w:pageBreakBefore w:val="0"/>
        <w:widowControl w:val="0"/>
        <w:numPr>
          <w:ilvl w:val="0"/>
          <w:numId w:val="20"/>
        </w:numPr>
        <w:tabs>
          <w:tab w:val="left" w:pos="960"/>
        </w:tabs>
        <w:kinsoku/>
        <w:wordWrap/>
        <w:overflowPunct/>
        <w:topLinePunct w:val="0"/>
        <w:autoSpaceDE/>
        <w:autoSpaceDN/>
        <w:bidi w:val="0"/>
        <w:adjustRightInd w:val="0"/>
        <w:snapToGrid w:val="0"/>
        <w:spacing w:after="0" w:line="460" w:lineRule="atLeast"/>
        <w:ind w:left="0" w:leftChars="0" w:firstLine="422" w:firstLineChars="200"/>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招标文件要求的其他材料</w:t>
      </w:r>
    </w:p>
    <w:p w14:paraId="155E7D50">
      <w:pPr>
        <w:pStyle w:val="11"/>
        <w:keepNext w:val="0"/>
        <w:keepLines w:val="0"/>
        <w:pageBreakBefore w:val="0"/>
        <w:widowControl w:val="0"/>
        <w:tabs>
          <w:tab w:val="left" w:pos="420"/>
        </w:tabs>
        <w:kinsoku/>
        <w:wordWrap/>
        <w:overflowPunct/>
        <w:topLinePunct w:val="0"/>
        <w:autoSpaceDE/>
        <w:autoSpaceDN/>
        <w:bidi w:val="0"/>
        <w:adjustRightInd w:val="0"/>
        <w:snapToGrid w:val="0"/>
        <w:spacing w:after="0" w:line="460" w:lineRule="atLeast"/>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注：①上述材料按顺序合订成册，正、副本分开装订。同时应提供一份投标文件电子备份文件，载体为U盘（直接放入标书封袋内或单独包装密封后随投标文件一起递交），内容为加盖单位公章的完整投标文件PDF格式（正本即可）。</w:t>
      </w:r>
    </w:p>
    <w:p w14:paraId="0E28377A">
      <w:pPr>
        <w:pStyle w:val="11"/>
        <w:keepNext w:val="0"/>
        <w:keepLines w:val="0"/>
        <w:pageBreakBefore w:val="0"/>
        <w:widowControl w:val="0"/>
        <w:tabs>
          <w:tab w:val="left" w:pos="840"/>
        </w:tabs>
        <w:kinsoku/>
        <w:wordWrap/>
        <w:overflowPunct/>
        <w:topLinePunct w:val="0"/>
        <w:autoSpaceDE/>
        <w:autoSpaceDN/>
        <w:bidi w:val="0"/>
        <w:adjustRightInd w:val="0"/>
        <w:snapToGrid w:val="0"/>
        <w:spacing w:after="0" w:line="460" w:lineRule="atLeast"/>
        <w:ind w:firstLine="843" w:firstLineChars="400"/>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②投标文件中提供的资格审查资料必须真实有效，且须保证与原件一致（原件不得涂改，如有涂改须加盖原签发单位公章）、完整（关键信息齐全）、清晰可辨(钢印除外)。出现不符合上述任一情况的，资格审查均不予通过。</w:t>
      </w:r>
    </w:p>
    <w:p w14:paraId="27EBD996">
      <w:pPr>
        <w:pStyle w:val="3"/>
        <w:keepNext w:val="0"/>
        <w:keepLines w:val="0"/>
        <w:pageBreakBefore w:val="0"/>
        <w:widowControl w:val="0"/>
        <w:numPr>
          <w:ilvl w:val="0"/>
          <w:numId w:val="19"/>
        </w:numPr>
        <w:tabs>
          <w:tab w:val="left" w:pos="861"/>
          <w:tab w:val="clear" w:pos="210"/>
        </w:tabs>
        <w:kinsoku/>
        <w:wordWrap/>
        <w:overflowPunct/>
        <w:topLinePunct w:val="0"/>
        <w:autoSpaceDE/>
        <w:autoSpaceDN/>
        <w:bidi w:val="0"/>
        <w:adjustRightInd w:val="0"/>
        <w:snapToGrid w:val="0"/>
        <w:spacing w:after="0" w:line="460" w:lineRule="atLeast"/>
        <w:ind w:left="0" w:leftChars="0" w:firstLine="422" w:firstLineChars="200"/>
        <w:textAlignment w:val="auto"/>
        <w:rPr>
          <w:rFonts w:hint="eastAsia" w:ascii="宋体" w:hAnsi="宋体" w:eastAsia="宋体" w:cs="宋体"/>
          <w:b/>
          <w:color w:val="auto"/>
          <w:sz w:val="21"/>
          <w:szCs w:val="21"/>
          <w:highlight w:val="none"/>
        </w:rPr>
      </w:pPr>
      <w:r>
        <w:rPr>
          <w:rFonts w:hint="eastAsia" w:ascii="宋体" w:hAnsi="宋体" w:eastAsia="宋体" w:cs="宋体"/>
          <w:color w:val="auto"/>
          <w:sz w:val="21"/>
          <w:szCs w:val="21"/>
          <w:highlight w:val="none"/>
        </w:rPr>
        <w:t>投标报价</w:t>
      </w:r>
    </w:p>
    <w:p w14:paraId="1206E874">
      <w:pPr>
        <w:pStyle w:val="11"/>
        <w:keepNext w:val="0"/>
        <w:keepLines w:val="0"/>
        <w:pageBreakBefore w:val="0"/>
        <w:widowControl w:val="0"/>
        <w:numPr>
          <w:ilvl w:val="0"/>
          <w:numId w:val="21"/>
        </w:numPr>
        <w:tabs>
          <w:tab w:val="left" w:pos="1080"/>
          <w:tab w:val="clear" w:pos="210"/>
        </w:tabs>
        <w:kinsoku/>
        <w:wordWrap/>
        <w:overflowPunct/>
        <w:topLinePunct w:val="0"/>
        <w:autoSpaceDE/>
        <w:autoSpaceDN/>
        <w:bidi w:val="0"/>
        <w:adjustRightInd w:val="0"/>
        <w:snapToGrid w:val="0"/>
        <w:spacing w:after="0" w:line="460" w:lineRule="atLeast"/>
        <w:ind w:left="0" w:leftChars="0" w:firstLine="420" w:firstLineChars="200"/>
        <w:textAlignment w:val="auto"/>
        <w:rPr>
          <w:rFonts w:hint="eastAsia" w:ascii="宋体" w:hAnsi="宋体" w:eastAsia="宋体" w:cs="宋体"/>
          <w:b w:val="0"/>
          <w:color w:val="auto"/>
          <w:sz w:val="21"/>
          <w:szCs w:val="21"/>
          <w:highlight w:val="none"/>
        </w:rPr>
      </w:pPr>
      <w:r>
        <w:rPr>
          <w:rFonts w:hint="eastAsia" w:ascii="宋体" w:hAnsi="宋体" w:eastAsia="宋体" w:cs="宋体"/>
          <w:color w:val="auto"/>
          <w:sz w:val="21"/>
          <w:szCs w:val="21"/>
          <w:highlight w:val="none"/>
        </w:rPr>
        <w:t>投标报价为</w:t>
      </w:r>
      <w:r>
        <w:rPr>
          <w:rFonts w:hint="eastAsia" w:ascii="宋体" w:hAnsi="宋体" w:cs="宋体"/>
          <w:color w:val="auto"/>
          <w:sz w:val="21"/>
          <w:szCs w:val="21"/>
          <w:highlight w:val="none"/>
          <w:lang w:val="en-US" w:eastAsia="zh-CN"/>
        </w:rPr>
        <w:t>全费用综合单</w:t>
      </w:r>
      <w:r>
        <w:rPr>
          <w:rFonts w:hint="eastAsia" w:ascii="宋体" w:hAnsi="宋体" w:eastAsia="宋体" w:cs="宋体"/>
          <w:color w:val="auto"/>
          <w:sz w:val="21"/>
          <w:szCs w:val="21"/>
          <w:highlight w:val="none"/>
        </w:rPr>
        <w:t>价，应包含本招标文件中的全部内容所需的所有费用。</w:t>
      </w:r>
    </w:p>
    <w:p w14:paraId="7064659D">
      <w:pPr>
        <w:pStyle w:val="11"/>
        <w:keepNext w:val="0"/>
        <w:keepLines w:val="0"/>
        <w:pageBreakBefore w:val="0"/>
        <w:widowControl w:val="0"/>
        <w:numPr>
          <w:ilvl w:val="0"/>
          <w:numId w:val="21"/>
        </w:numPr>
        <w:tabs>
          <w:tab w:val="left" w:pos="1080"/>
          <w:tab w:val="clear" w:pos="210"/>
        </w:tabs>
        <w:kinsoku/>
        <w:wordWrap/>
        <w:overflowPunct/>
        <w:topLinePunct w:val="0"/>
        <w:autoSpaceDE/>
        <w:autoSpaceDN/>
        <w:bidi w:val="0"/>
        <w:adjustRightInd w:val="0"/>
        <w:snapToGrid w:val="0"/>
        <w:spacing w:after="0" w:line="460" w:lineRule="atLeast"/>
        <w:ind w:left="0" w:leftChars="0" w:firstLine="420" w:firstLineChars="200"/>
        <w:textAlignment w:val="auto"/>
        <w:rPr>
          <w:rFonts w:hint="eastAsia" w:ascii="宋体" w:hAnsi="宋体" w:eastAsia="宋体" w:cs="宋体"/>
          <w:b w:val="0"/>
          <w:color w:val="auto"/>
          <w:sz w:val="21"/>
          <w:szCs w:val="21"/>
          <w:highlight w:val="none"/>
        </w:rPr>
      </w:pPr>
      <w:r>
        <w:rPr>
          <w:rFonts w:hint="eastAsia" w:ascii="宋体" w:hAnsi="宋体" w:eastAsia="宋体" w:cs="宋体"/>
          <w:color w:val="auto"/>
          <w:sz w:val="21"/>
          <w:szCs w:val="21"/>
          <w:highlight w:val="none"/>
        </w:rPr>
        <w:t>投标人按招标文件（含投标报价表）的具体规定进行报价。</w:t>
      </w:r>
    </w:p>
    <w:p w14:paraId="1905F241">
      <w:pPr>
        <w:pStyle w:val="11"/>
        <w:keepNext w:val="0"/>
        <w:keepLines w:val="0"/>
        <w:pageBreakBefore w:val="0"/>
        <w:widowControl w:val="0"/>
        <w:numPr>
          <w:ilvl w:val="0"/>
          <w:numId w:val="21"/>
        </w:numPr>
        <w:tabs>
          <w:tab w:val="left" w:pos="1080"/>
          <w:tab w:val="clear" w:pos="210"/>
        </w:tabs>
        <w:kinsoku/>
        <w:wordWrap/>
        <w:overflowPunct/>
        <w:topLinePunct w:val="0"/>
        <w:autoSpaceDE/>
        <w:autoSpaceDN/>
        <w:bidi w:val="0"/>
        <w:adjustRightInd w:val="0"/>
        <w:snapToGrid w:val="0"/>
        <w:spacing w:after="0" w:line="460" w:lineRule="atLeast"/>
        <w:ind w:left="0" w:leftChars="0" w:firstLine="420" w:firstLineChars="200"/>
        <w:textAlignment w:val="auto"/>
        <w:rPr>
          <w:rFonts w:hint="eastAsia" w:ascii="宋体" w:hAnsi="宋体" w:eastAsia="宋体" w:cs="宋体"/>
          <w:b w:val="0"/>
          <w:color w:val="auto"/>
          <w:sz w:val="21"/>
          <w:szCs w:val="21"/>
          <w:highlight w:val="none"/>
        </w:rPr>
      </w:pPr>
      <w:r>
        <w:rPr>
          <w:rFonts w:hint="eastAsia" w:ascii="宋体" w:hAnsi="宋体" w:eastAsia="宋体" w:cs="宋体"/>
          <w:color w:val="auto"/>
          <w:sz w:val="21"/>
          <w:szCs w:val="21"/>
          <w:highlight w:val="none"/>
        </w:rPr>
        <w:t>招标人设有最高投标限价的，投标人的投标报价不得超过最高投标限价，最高投标限价见投标人须知前附表。</w:t>
      </w:r>
    </w:p>
    <w:p w14:paraId="3A31C8E1">
      <w:pPr>
        <w:pStyle w:val="11"/>
        <w:keepNext w:val="0"/>
        <w:keepLines w:val="0"/>
        <w:pageBreakBefore w:val="0"/>
        <w:widowControl w:val="0"/>
        <w:numPr>
          <w:ilvl w:val="0"/>
          <w:numId w:val="21"/>
        </w:numPr>
        <w:tabs>
          <w:tab w:val="left" w:pos="1080"/>
          <w:tab w:val="clear" w:pos="210"/>
        </w:tabs>
        <w:kinsoku/>
        <w:wordWrap/>
        <w:overflowPunct/>
        <w:topLinePunct w:val="0"/>
        <w:autoSpaceDE/>
        <w:autoSpaceDN/>
        <w:bidi w:val="0"/>
        <w:adjustRightInd w:val="0"/>
        <w:snapToGrid w:val="0"/>
        <w:spacing w:after="0" w:line="460" w:lineRule="atLeast"/>
        <w:ind w:left="0" w:leftChars="0" w:firstLine="420" w:firstLineChars="200"/>
        <w:textAlignment w:val="auto"/>
        <w:rPr>
          <w:rFonts w:hint="eastAsia" w:ascii="宋体" w:hAnsi="宋体" w:eastAsia="宋体" w:cs="宋体"/>
          <w:b w:val="0"/>
          <w:color w:val="auto"/>
          <w:sz w:val="21"/>
          <w:szCs w:val="21"/>
          <w:highlight w:val="none"/>
        </w:rPr>
      </w:pPr>
      <w:r>
        <w:rPr>
          <w:rFonts w:hint="eastAsia" w:ascii="宋体" w:hAnsi="宋体" w:eastAsia="宋体" w:cs="宋体"/>
          <w:color w:val="auto"/>
          <w:sz w:val="21"/>
          <w:szCs w:val="21"/>
          <w:highlight w:val="none"/>
        </w:rPr>
        <w:t>报价、计价说明</w:t>
      </w:r>
    </w:p>
    <w:p w14:paraId="0C9C37B3">
      <w:pPr>
        <w:pStyle w:val="11"/>
        <w:keepNext w:val="0"/>
        <w:keepLines w:val="0"/>
        <w:pageBreakBefore w:val="0"/>
        <w:widowControl w:val="0"/>
        <w:numPr>
          <w:ilvl w:val="0"/>
          <w:numId w:val="22"/>
        </w:numPr>
        <w:tabs>
          <w:tab w:val="left" w:pos="1080"/>
        </w:tabs>
        <w:kinsoku/>
        <w:wordWrap/>
        <w:overflowPunct/>
        <w:topLinePunct w:val="0"/>
        <w:autoSpaceDE/>
        <w:autoSpaceDN/>
        <w:bidi w:val="0"/>
        <w:adjustRightInd w:val="0"/>
        <w:snapToGrid w:val="0"/>
        <w:spacing w:after="0" w:line="460" w:lineRule="atLeast"/>
        <w:ind w:left="0" w:leftChars="0" w:firstLine="420" w:firstLineChars="200"/>
        <w:textAlignment w:val="auto"/>
        <w:rPr>
          <w:rFonts w:hint="eastAsia" w:ascii="宋体" w:hAnsi="宋体" w:eastAsia="宋体" w:cs="宋体"/>
          <w:b w:val="0"/>
          <w:color w:val="auto"/>
          <w:sz w:val="21"/>
          <w:szCs w:val="21"/>
          <w:highlight w:val="none"/>
        </w:rPr>
      </w:pPr>
      <w:r>
        <w:rPr>
          <w:rFonts w:hint="eastAsia" w:ascii="宋体" w:hAnsi="宋体" w:eastAsia="宋体" w:cs="宋体"/>
          <w:color w:val="auto"/>
          <w:sz w:val="21"/>
          <w:szCs w:val="21"/>
          <w:highlight w:val="none"/>
        </w:rPr>
        <w:t>投标报价是指按招标人提供的招标内容及技术要求并进行相关服务而涵盖的所有费用，包括投标人为完成招标文件（含投标报价表）确定的招标范围内的所有工作内容而涵盖的所有费用，即主要包括（但不限于）：人工服务酬金（包含人员工资、社会福利费、外勤等特殊津贴费、现场服务费等）、</w:t>
      </w:r>
      <w:r>
        <w:rPr>
          <w:rFonts w:hint="eastAsia" w:ascii="宋体" w:hAnsi="宋体" w:cs="宋体"/>
          <w:color w:val="auto"/>
          <w:sz w:val="21"/>
          <w:szCs w:val="21"/>
          <w:highlight w:val="none"/>
          <w:lang w:val="en-US" w:eastAsia="zh-CN"/>
        </w:rPr>
        <w:t>检验检测费用、</w:t>
      </w:r>
      <w:r>
        <w:rPr>
          <w:rFonts w:hint="eastAsia" w:ascii="宋体" w:hAnsi="宋体" w:eastAsia="宋体" w:cs="宋体"/>
          <w:color w:val="auto"/>
          <w:sz w:val="21"/>
          <w:szCs w:val="21"/>
          <w:highlight w:val="none"/>
        </w:rPr>
        <w:t>维修费、仪器设备费用、3000元及以下的单个设备材料费、因非招标人原因导致的人身伤害赔偿、交通、通讯、人员及设备保险费、管理费、利润、规费（环境保护税除外）、税金等全部费用。同时还应充分考虑市场风险、国家政策性调整风险系数以及承担的义务、责任、风险等一切因素，并计入投标报价中。招标人有权终止工作或进行工作量变更，投标人不得追究任何责任及索要补偿。凡漏项或少计均视为优惠，招标人不另行增加费用。</w:t>
      </w:r>
    </w:p>
    <w:p w14:paraId="531FF6F0">
      <w:pPr>
        <w:pStyle w:val="11"/>
        <w:keepNext w:val="0"/>
        <w:keepLines w:val="0"/>
        <w:pageBreakBefore w:val="0"/>
        <w:widowControl w:val="0"/>
        <w:numPr>
          <w:ilvl w:val="0"/>
          <w:numId w:val="22"/>
        </w:numPr>
        <w:tabs>
          <w:tab w:val="left" w:pos="1080"/>
        </w:tabs>
        <w:kinsoku/>
        <w:wordWrap/>
        <w:overflowPunct/>
        <w:topLinePunct w:val="0"/>
        <w:autoSpaceDE/>
        <w:autoSpaceDN/>
        <w:bidi w:val="0"/>
        <w:adjustRightInd w:val="0"/>
        <w:snapToGrid w:val="0"/>
        <w:spacing w:after="0" w:line="460" w:lineRule="atLeast"/>
        <w:ind w:left="0" w:leftChars="0" w:firstLine="420" w:firstLineChars="200"/>
        <w:textAlignment w:val="auto"/>
        <w:rPr>
          <w:rFonts w:hint="eastAsia" w:ascii="宋体" w:hAnsi="宋体" w:eastAsia="宋体" w:cs="宋体"/>
          <w:b w:val="0"/>
          <w:color w:val="auto"/>
          <w:sz w:val="21"/>
          <w:szCs w:val="21"/>
          <w:highlight w:val="none"/>
        </w:rPr>
      </w:pPr>
      <w:r>
        <w:rPr>
          <w:rFonts w:hint="eastAsia" w:ascii="宋体" w:hAnsi="宋体" w:eastAsia="宋体" w:cs="宋体"/>
          <w:color w:val="auto"/>
          <w:sz w:val="21"/>
          <w:szCs w:val="21"/>
          <w:highlight w:val="none"/>
        </w:rPr>
        <w:t>投标报价采用“全费用综合单价”报价方式，即将所有费用均摊销至各单价中。投标报价（各</w:t>
      </w:r>
      <w:r>
        <w:rPr>
          <w:rFonts w:hint="eastAsia" w:ascii="宋体" w:hAnsi="宋体" w:cs="宋体"/>
          <w:color w:val="auto"/>
          <w:sz w:val="21"/>
          <w:szCs w:val="21"/>
          <w:highlight w:val="none"/>
          <w:lang w:val="en-US" w:eastAsia="zh-CN"/>
        </w:rPr>
        <w:t>项服务</w:t>
      </w:r>
      <w:r>
        <w:rPr>
          <w:rFonts w:hint="eastAsia" w:ascii="宋体" w:hAnsi="宋体" w:eastAsia="宋体" w:cs="宋体"/>
          <w:color w:val="auto"/>
          <w:sz w:val="21"/>
          <w:szCs w:val="21"/>
          <w:highlight w:val="none"/>
        </w:rPr>
        <w:t>的单价）作为结算的依据，在本项目中除双方另有约定外，其单价一律不得调整，数量按实结算。</w:t>
      </w:r>
    </w:p>
    <w:p w14:paraId="3D78367A">
      <w:pPr>
        <w:pStyle w:val="3"/>
        <w:keepNext w:val="0"/>
        <w:keepLines w:val="0"/>
        <w:pageBreakBefore w:val="0"/>
        <w:widowControl w:val="0"/>
        <w:numPr>
          <w:ilvl w:val="0"/>
          <w:numId w:val="19"/>
        </w:numPr>
        <w:tabs>
          <w:tab w:val="left" w:pos="861"/>
          <w:tab w:val="clear" w:pos="210"/>
        </w:tabs>
        <w:kinsoku/>
        <w:wordWrap/>
        <w:overflowPunct/>
        <w:topLinePunct w:val="0"/>
        <w:autoSpaceDE/>
        <w:autoSpaceDN/>
        <w:bidi w:val="0"/>
        <w:adjustRightInd w:val="0"/>
        <w:snapToGrid w:val="0"/>
        <w:spacing w:after="0" w:line="460" w:lineRule="atLeast"/>
        <w:ind w:left="0" w:leftChars="0" w:firstLine="422" w:firstLineChars="200"/>
        <w:textAlignment w:val="auto"/>
        <w:rPr>
          <w:rFonts w:hint="eastAsia" w:ascii="宋体" w:hAnsi="宋体" w:eastAsia="宋体" w:cs="宋体"/>
          <w:b/>
          <w:color w:val="auto"/>
          <w:sz w:val="21"/>
          <w:szCs w:val="21"/>
          <w:highlight w:val="none"/>
        </w:rPr>
      </w:pPr>
      <w:r>
        <w:rPr>
          <w:rFonts w:hint="eastAsia" w:ascii="宋体" w:hAnsi="宋体" w:eastAsia="宋体" w:cs="宋体"/>
          <w:color w:val="auto"/>
          <w:sz w:val="21"/>
          <w:szCs w:val="21"/>
          <w:highlight w:val="none"/>
        </w:rPr>
        <w:t>投标有效期</w:t>
      </w:r>
    </w:p>
    <w:p w14:paraId="2FC9A582">
      <w:pPr>
        <w:pStyle w:val="11"/>
        <w:keepNext w:val="0"/>
        <w:keepLines w:val="0"/>
        <w:pageBreakBefore w:val="0"/>
        <w:widowControl w:val="0"/>
        <w:numPr>
          <w:ilvl w:val="0"/>
          <w:numId w:val="23"/>
        </w:numPr>
        <w:tabs>
          <w:tab w:val="left" w:pos="1080"/>
          <w:tab w:val="clear" w:pos="210"/>
        </w:tabs>
        <w:kinsoku/>
        <w:wordWrap/>
        <w:overflowPunct/>
        <w:topLinePunct w:val="0"/>
        <w:autoSpaceDE/>
        <w:autoSpaceDN/>
        <w:bidi w:val="0"/>
        <w:adjustRightInd w:val="0"/>
        <w:snapToGrid w:val="0"/>
        <w:spacing w:after="0" w:line="460" w:lineRule="atLeast"/>
        <w:ind w:left="0" w:leftChars="0" w:firstLine="420" w:firstLineChars="200"/>
        <w:textAlignment w:val="auto"/>
        <w:rPr>
          <w:rFonts w:hint="eastAsia" w:ascii="宋体" w:hAnsi="宋体" w:eastAsia="宋体" w:cs="宋体"/>
          <w:b w:val="0"/>
          <w:color w:val="auto"/>
          <w:sz w:val="21"/>
          <w:szCs w:val="21"/>
          <w:highlight w:val="none"/>
        </w:rPr>
      </w:pPr>
      <w:r>
        <w:rPr>
          <w:rFonts w:hint="eastAsia" w:ascii="宋体" w:hAnsi="宋体" w:eastAsia="宋体" w:cs="宋体"/>
          <w:color w:val="auto"/>
          <w:sz w:val="21"/>
          <w:szCs w:val="21"/>
          <w:highlight w:val="none"/>
        </w:rPr>
        <w:t>在投标人须知前附表规定的投标有效期内，投标人不得要求撤销或修改其投标文件。</w:t>
      </w:r>
    </w:p>
    <w:p w14:paraId="63CC4658">
      <w:pPr>
        <w:pStyle w:val="11"/>
        <w:keepNext w:val="0"/>
        <w:keepLines w:val="0"/>
        <w:pageBreakBefore w:val="0"/>
        <w:widowControl w:val="0"/>
        <w:numPr>
          <w:ilvl w:val="0"/>
          <w:numId w:val="23"/>
        </w:numPr>
        <w:tabs>
          <w:tab w:val="left" w:pos="1080"/>
          <w:tab w:val="clear" w:pos="210"/>
        </w:tabs>
        <w:kinsoku/>
        <w:wordWrap/>
        <w:overflowPunct/>
        <w:topLinePunct w:val="0"/>
        <w:autoSpaceDE/>
        <w:autoSpaceDN/>
        <w:bidi w:val="0"/>
        <w:adjustRightInd w:val="0"/>
        <w:snapToGrid w:val="0"/>
        <w:spacing w:after="0" w:line="460" w:lineRule="atLeast"/>
        <w:ind w:left="0" w:leftChars="0" w:firstLine="420" w:firstLineChars="200"/>
        <w:textAlignment w:val="auto"/>
        <w:rPr>
          <w:rFonts w:hint="eastAsia" w:ascii="宋体" w:hAnsi="宋体" w:eastAsia="宋体" w:cs="宋体"/>
          <w:b w:val="0"/>
          <w:color w:val="auto"/>
          <w:sz w:val="21"/>
          <w:szCs w:val="21"/>
          <w:highlight w:val="none"/>
        </w:rPr>
      </w:pPr>
      <w:r>
        <w:rPr>
          <w:rFonts w:hint="eastAsia" w:ascii="宋体" w:hAnsi="宋体" w:eastAsia="宋体" w:cs="宋体"/>
          <w:color w:val="auto"/>
          <w:sz w:val="21"/>
          <w:szCs w:val="21"/>
          <w:highlight w:val="none"/>
        </w:rPr>
        <w:t>出现特殊情况需要延长投标有效期的，招标人应通知所有投标人延长投标有效期。投标人同意延长的，应相应延长其投标保证金的有效期，但不得要求或被允许修改或撤销其投标文件；投标人拒绝延长的，其投标失效，但投标人有权收回其投标保证金。</w:t>
      </w:r>
    </w:p>
    <w:p w14:paraId="73B2D8CC">
      <w:pPr>
        <w:pStyle w:val="3"/>
        <w:keepNext w:val="0"/>
        <w:keepLines w:val="0"/>
        <w:pageBreakBefore w:val="0"/>
        <w:widowControl w:val="0"/>
        <w:numPr>
          <w:ilvl w:val="0"/>
          <w:numId w:val="19"/>
        </w:numPr>
        <w:tabs>
          <w:tab w:val="left" w:pos="861"/>
          <w:tab w:val="clear" w:pos="210"/>
        </w:tabs>
        <w:kinsoku/>
        <w:wordWrap/>
        <w:overflowPunct/>
        <w:topLinePunct w:val="0"/>
        <w:autoSpaceDE/>
        <w:autoSpaceDN/>
        <w:bidi w:val="0"/>
        <w:adjustRightInd w:val="0"/>
        <w:snapToGrid w:val="0"/>
        <w:spacing w:after="0" w:line="460" w:lineRule="atLeast"/>
        <w:ind w:left="0" w:leftChars="0" w:firstLine="422" w:firstLineChars="200"/>
        <w:textAlignment w:val="auto"/>
        <w:rPr>
          <w:rFonts w:hint="eastAsia" w:ascii="宋体" w:hAnsi="宋体" w:eastAsia="宋体" w:cs="宋体"/>
          <w:b/>
          <w:color w:val="auto"/>
          <w:sz w:val="21"/>
          <w:szCs w:val="21"/>
          <w:highlight w:val="none"/>
        </w:rPr>
      </w:pPr>
      <w:r>
        <w:rPr>
          <w:rFonts w:hint="eastAsia" w:ascii="宋体" w:hAnsi="宋体" w:eastAsia="宋体" w:cs="宋体"/>
          <w:color w:val="auto"/>
          <w:sz w:val="21"/>
          <w:szCs w:val="21"/>
          <w:highlight w:val="none"/>
        </w:rPr>
        <w:t>投标保证金</w:t>
      </w:r>
    </w:p>
    <w:p w14:paraId="56047DF3">
      <w:pPr>
        <w:pStyle w:val="11"/>
        <w:keepNext w:val="0"/>
        <w:keepLines w:val="0"/>
        <w:pageBreakBefore w:val="0"/>
        <w:widowControl w:val="0"/>
        <w:numPr>
          <w:ilvl w:val="0"/>
          <w:numId w:val="24"/>
        </w:numPr>
        <w:tabs>
          <w:tab w:val="left" w:pos="1080"/>
          <w:tab w:val="clear" w:pos="210"/>
        </w:tabs>
        <w:kinsoku/>
        <w:wordWrap/>
        <w:overflowPunct/>
        <w:topLinePunct w:val="0"/>
        <w:autoSpaceDE/>
        <w:autoSpaceDN/>
        <w:bidi w:val="0"/>
        <w:adjustRightInd w:val="0"/>
        <w:snapToGrid w:val="0"/>
        <w:spacing w:after="0" w:line="460" w:lineRule="atLeast"/>
        <w:ind w:left="0" w:leftChars="0" w:firstLine="420" w:firstLineChars="200"/>
        <w:textAlignment w:val="auto"/>
        <w:rPr>
          <w:rFonts w:hint="eastAsia" w:ascii="宋体" w:hAnsi="宋体" w:eastAsia="宋体" w:cs="宋体"/>
          <w:b w:val="0"/>
          <w:color w:val="auto"/>
          <w:sz w:val="21"/>
          <w:szCs w:val="21"/>
          <w:highlight w:val="none"/>
        </w:rPr>
      </w:pPr>
      <w:r>
        <w:rPr>
          <w:rFonts w:hint="eastAsia" w:ascii="宋体" w:hAnsi="宋体" w:eastAsia="宋体" w:cs="宋体"/>
          <w:color w:val="auto"/>
          <w:sz w:val="21"/>
          <w:szCs w:val="21"/>
          <w:highlight w:val="none"/>
        </w:rPr>
        <w:t>投标人在递交投标文件的同时，应按规定的金额、形式递交投标保证金，并作为其投标文件的组成部分。</w:t>
      </w:r>
    </w:p>
    <w:p w14:paraId="7ED42FAB">
      <w:pPr>
        <w:pStyle w:val="11"/>
        <w:keepNext w:val="0"/>
        <w:keepLines w:val="0"/>
        <w:pageBreakBefore w:val="0"/>
        <w:widowControl w:val="0"/>
        <w:kinsoku/>
        <w:wordWrap/>
        <w:overflowPunct/>
        <w:topLinePunct w:val="0"/>
        <w:autoSpaceDE/>
        <w:autoSpaceDN/>
        <w:bidi w:val="0"/>
        <w:adjustRightInd w:val="0"/>
        <w:snapToGrid w:val="0"/>
        <w:spacing w:after="0" w:line="460" w:lineRule="atLeast"/>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3.4.2 本项目投标保证金数额为</w:t>
      </w:r>
      <w:r>
        <w:rPr>
          <w:rFonts w:hint="eastAsia" w:ascii="宋体" w:hAnsi="宋体" w:eastAsia="宋体" w:cs="宋体"/>
          <w:b/>
          <w:bCs/>
          <w:color w:val="auto"/>
          <w:sz w:val="21"/>
          <w:szCs w:val="21"/>
          <w:highlight w:val="none"/>
          <w:u w:val="single"/>
        </w:rPr>
        <w:t>人民币叁仟元整</w:t>
      </w:r>
      <w:r>
        <w:rPr>
          <w:rFonts w:hint="eastAsia" w:ascii="宋体" w:hAnsi="宋体" w:eastAsia="宋体" w:cs="宋体"/>
          <w:color w:val="auto"/>
          <w:sz w:val="21"/>
          <w:szCs w:val="21"/>
          <w:highlight w:val="none"/>
        </w:rPr>
        <w:t>。投标保证金采用</w:t>
      </w:r>
      <w:r>
        <w:rPr>
          <w:rFonts w:hint="eastAsia" w:ascii="宋体" w:hAnsi="宋体" w:eastAsia="宋体" w:cs="宋体"/>
          <w:b/>
          <w:bCs/>
          <w:color w:val="auto"/>
          <w:sz w:val="21"/>
          <w:szCs w:val="21"/>
          <w:highlight w:val="none"/>
          <w:u w:val="single"/>
        </w:rPr>
        <w:t>银行汇票形式或 保函（保单）形式【 保函（保单）可通过盐城市数字一体化 保函综合服务平台办理(网址: https://www.ycbaohan.com)】，不接受其他形式</w:t>
      </w:r>
      <w:r>
        <w:rPr>
          <w:rFonts w:hint="eastAsia" w:ascii="宋体" w:hAnsi="宋体" w:eastAsia="宋体" w:cs="宋体"/>
          <w:color w:val="auto"/>
          <w:sz w:val="21"/>
          <w:szCs w:val="21"/>
          <w:highlight w:val="none"/>
        </w:rPr>
        <w:t>。投标人必须在投标文件递交截止时间前将投标保证金从</w:t>
      </w:r>
      <w:r>
        <w:rPr>
          <w:rFonts w:hint="eastAsia" w:ascii="宋体" w:hAnsi="宋体" w:eastAsia="宋体" w:cs="宋体"/>
          <w:b/>
          <w:bCs/>
          <w:color w:val="auto"/>
          <w:sz w:val="21"/>
          <w:szCs w:val="21"/>
          <w:highlight w:val="none"/>
          <w:u w:val="single"/>
        </w:rPr>
        <w:t>本单位的基本账户</w:t>
      </w:r>
      <w:r>
        <w:rPr>
          <w:rFonts w:hint="eastAsia" w:ascii="宋体" w:hAnsi="宋体" w:eastAsia="宋体" w:cs="宋体"/>
          <w:color w:val="auto"/>
          <w:sz w:val="21"/>
          <w:szCs w:val="21"/>
          <w:highlight w:val="none"/>
        </w:rPr>
        <w:t>办理（</w:t>
      </w:r>
      <w:r>
        <w:rPr>
          <w:rFonts w:hint="eastAsia" w:ascii="宋体" w:hAnsi="宋体" w:eastAsia="宋体" w:cs="宋体"/>
          <w:b/>
          <w:bCs/>
          <w:color w:val="auto"/>
          <w:sz w:val="21"/>
          <w:szCs w:val="21"/>
          <w:highlight w:val="none"/>
        </w:rPr>
        <w:t>收款单位：</w:t>
      </w:r>
      <w:r>
        <w:rPr>
          <w:rFonts w:hint="eastAsia" w:ascii="宋体" w:hAnsi="宋体" w:cs="宋体"/>
          <w:b/>
          <w:bCs/>
          <w:color w:val="auto"/>
          <w:sz w:val="21"/>
          <w:szCs w:val="21"/>
          <w:highlight w:val="none"/>
          <w:lang w:eastAsia="zh-CN"/>
        </w:rPr>
        <w:t>盐城东方投资开发集团有限公司</w:t>
      </w:r>
      <w:r>
        <w:rPr>
          <w:rFonts w:hint="eastAsia" w:ascii="宋体" w:hAnsi="宋体" w:eastAsia="宋体" w:cs="宋体"/>
          <w:b/>
          <w:bCs/>
          <w:color w:val="auto"/>
          <w:sz w:val="21"/>
          <w:szCs w:val="21"/>
          <w:highlight w:val="none"/>
        </w:rPr>
        <w:t>；开户银行：建设银行盐城开发区支行；账号：</w:t>
      </w:r>
      <w:r>
        <w:rPr>
          <w:rFonts w:hint="eastAsia" w:ascii="宋体" w:hAnsi="宋体" w:eastAsia="宋体" w:cs="宋体"/>
          <w:b/>
          <w:bCs/>
          <w:color w:val="auto"/>
          <w:sz w:val="21"/>
          <w:szCs w:val="21"/>
          <w:highlight w:val="none"/>
          <w:lang w:eastAsia="zh-CN"/>
        </w:rPr>
        <w:t>32001735336050837146</w:t>
      </w:r>
      <w:r>
        <w:rPr>
          <w:rFonts w:hint="eastAsia" w:ascii="宋体" w:hAnsi="宋体" w:eastAsia="宋体" w:cs="宋体"/>
          <w:color w:val="auto"/>
          <w:sz w:val="21"/>
          <w:szCs w:val="21"/>
          <w:highlight w:val="none"/>
        </w:rPr>
        <w:t>）。投标保证金一律以</w:t>
      </w:r>
      <w:r>
        <w:rPr>
          <w:rFonts w:hint="eastAsia" w:ascii="宋体" w:hAnsi="宋体" w:eastAsia="宋体" w:cs="宋体"/>
          <w:b/>
          <w:bCs/>
          <w:color w:val="auto"/>
          <w:sz w:val="21"/>
          <w:szCs w:val="21"/>
          <w:highlight w:val="none"/>
          <w:u w:val="single"/>
        </w:rPr>
        <w:t>银行汇票或 保函（保单）形式</w:t>
      </w:r>
      <w:r>
        <w:rPr>
          <w:rFonts w:hint="eastAsia" w:ascii="宋体" w:hAnsi="宋体" w:eastAsia="宋体" w:cs="宋体"/>
          <w:color w:val="auto"/>
          <w:sz w:val="21"/>
          <w:szCs w:val="21"/>
          <w:highlight w:val="none"/>
        </w:rPr>
        <w:t>缴纳，投标保证金申请单位及账号必须与投标人单位名称及公司银行开户许可证或基本存款账户信息证明中的基本户帐号完全一致。未按招标文件约定要求缴纳投标保证金，其投标文件不予接收。</w:t>
      </w:r>
    </w:p>
    <w:p w14:paraId="2ADFCE4E">
      <w:pPr>
        <w:pStyle w:val="11"/>
        <w:keepNext w:val="0"/>
        <w:keepLines w:val="0"/>
        <w:pageBreakBefore w:val="0"/>
        <w:widowControl w:val="0"/>
        <w:kinsoku/>
        <w:wordWrap/>
        <w:overflowPunct/>
        <w:topLinePunct w:val="0"/>
        <w:autoSpaceDE/>
        <w:autoSpaceDN/>
        <w:bidi w:val="0"/>
        <w:adjustRightInd w:val="0"/>
        <w:snapToGrid w:val="0"/>
        <w:spacing w:after="0" w:line="460" w:lineRule="atLeast"/>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投标文件递交截止时间前，投标人须将</w:t>
      </w:r>
      <w:r>
        <w:rPr>
          <w:rFonts w:hint="eastAsia" w:ascii="宋体" w:hAnsi="宋体" w:eastAsia="宋体" w:cs="宋体"/>
          <w:b/>
          <w:bCs/>
          <w:color w:val="auto"/>
          <w:sz w:val="21"/>
          <w:szCs w:val="21"/>
          <w:highlight w:val="none"/>
          <w:u w:val="single"/>
        </w:rPr>
        <w:t>银行汇票原件或 保函（保单）、《基本账户的银行开户许可证》或《基本存款账户信息》的原件（或复印件加盖投标人公章）</w:t>
      </w:r>
      <w:r>
        <w:rPr>
          <w:rFonts w:hint="eastAsia" w:ascii="宋体" w:hAnsi="宋体" w:eastAsia="宋体" w:cs="宋体"/>
          <w:color w:val="auto"/>
          <w:sz w:val="21"/>
          <w:szCs w:val="21"/>
          <w:highlight w:val="none"/>
        </w:rPr>
        <w:t>交给工作人员核验，否则视为投标人未缴纳投标保证金。未按招标文件约定要求缴纳投标保证金的，其投标文件将不予接受。（</w:t>
      </w:r>
      <w:r>
        <w:rPr>
          <w:rFonts w:hint="eastAsia" w:ascii="宋体" w:hAnsi="宋体" w:eastAsia="宋体" w:cs="宋体"/>
          <w:b/>
          <w:bCs/>
          <w:color w:val="auto"/>
          <w:sz w:val="21"/>
          <w:szCs w:val="21"/>
          <w:highlight w:val="none"/>
        </w:rPr>
        <w:t>上述材料无需封装，直接带至开标现场</w:t>
      </w:r>
      <w:r>
        <w:rPr>
          <w:rFonts w:hint="eastAsia" w:ascii="宋体" w:hAnsi="宋体" w:eastAsia="宋体" w:cs="宋体"/>
          <w:color w:val="auto"/>
          <w:sz w:val="21"/>
          <w:szCs w:val="21"/>
          <w:highlight w:val="none"/>
        </w:rPr>
        <w:t>）</w:t>
      </w:r>
    </w:p>
    <w:p w14:paraId="7B2CB179">
      <w:pPr>
        <w:pStyle w:val="11"/>
        <w:keepNext w:val="0"/>
        <w:keepLines w:val="0"/>
        <w:pageBreakBefore w:val="0"/>
        <w:widowControl w:val="0"/>
        <w:kinsoku/>
        <w:wordWrap/>
        <w:overflowPunct/>
        <w:topLinePunct w:val="0"/>
        <w:autoSpaceDE/>
        <w:autoSpaceDN/>
        <w:bidi w:val="0"/>
        <w:adjustRightInd w:val="0"/>
        <w:snapToGrid w:val="0"/>
        <w:spacing w:after="0" w:line="460" w:lineRule="atLeast"/>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文件递交截止时间前，投标人须将银行汇票原件或保函（保单）、《基本账户的银行开户许可证》或《基本存款账户信息》的原件（或复印件加盖投标人公章）交给工作人员核验，否则视为投标人未缴纳投标保证金。未按招标文件约定要求缴纳投标保证金的，其投标文件将不予接受。（上述材料无需封装，直接带至开标现场）</w:t>
      </w:r>
    </w:p>
    <w:p w14:paraId="6F3E9DBA">
      <w:pPr>
        <w:pStyle w:val="11"/>
        <w:keepNext w:val="0"/>
        <w:keepLines w:val="0"/>
        <w:pageBreakBefore w:val="0"/>
        <w:widowControl w:val="0"/>
        <w:numPr>
          <w:ilvl w:val="0"/>
          <w:numId w:val="24"/>
        </w:numPr>
        <w:tabs>
          <w:tab w:val="left" w:pos="1080"/>
          <w:tab w:val="clear" w:pos="210"/>
        </w:tabs>
        <w:kinsoku/>
        <w:wordWrap/>
        <w:overflowPunct/>
        <w:topLinePunct w:val="0"/>
        <w:autoSpaceDE/>
        <w:autoSpaceDN/>
        <w:bidi w:val="0"/>
        <w:adjustRightInd w:val="0"/>
        <w:snapToGrid w:val="0"/>
        <w:spacing w:after="0" w:line="460" w:lineRule="atLeast"/>
        <w:ind w:left="0" w:leftChars="0" w:firstLine="420" w:firstLineChars="200"/>
        <w:textAlignment w:val="auto"/>
        <w:rPr>
          <w:rFonts w:hint="eastAsia" w:ascii="宋体" w:hAnsi="宋体" w:eastAsia="宋体" w:cs="宋体"/>
          <w:b w:val="0"/>
          <w:color w:val="auto"/>
          <w:sz w:val="21"/>
          <w:szCs w:val="21"/>
          <w:highlight w:val="none"/>
        </w:rPr>
      </w:pPr>
      <w:r>
        <w:rPr>
          <w:rFonts w:hint="eastAsia" w:ascii="宋体" w:hAnsi="宋体" w:eastAsia="宋体" w:cs="宋体"/>
          <w:color w:val="auto"/>
          <w:sz w:val="21"/>
          <w:szCs w:val="21"/>
          <w:highlight w:val="none"/>
        </w:rPr>
        <w:t>投标保证金退还时间：未中标人的投标保证金在中标候选人公示结束后无息退还，中标人的投标保证金待履约保证金交纳并签订合同后无息退还。</w:t>
      </w:r>
    </w:p>
    <w:p w14:paraId="038AF7E3">
      <w:pPr>
        <w:pStyle w:val="11"/>
        <w:keepNext w:val="0"/>
        <w:keepLines w:val="0"/>
        <w:pageBreakBefore w:val="0"/>
        <w:widowControl w:val="0"/>
        <w:kinsoku/>
        <w:wordWrap/>
        <w:overflowPunct/>
        <w:topLinePunct w:val="0"/>
        <w:autoSpaceDE/>
        <w:autoSpaceDN/>
        <w:bidi w:val="0"/>
        <w:adjustRightInd w:val="0"/>
        <w:snapToGrid w:val="0"/>
        <w:spacing w:after="0" w:line="460" w:lineRule="atLeast"/>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如项目发生异议（投诉）的，中标候选人及异议人（投诉人）投标保证金在招标项目签订合同后予以退还。</w:t>
      </w:r>
    </w:p>
    <w:p w14:paraId="713B50CE">
      <w:pPr>
        <w:pStyle w:val="11"/>
        <w:keepNext w:val="0"/>
        <w:keepLines w:val="0"/>
        <w:pageBreakBefore w:val="0"/>
        <w:widowControl w:val="0"/>
        <w:kinsoku/>
        <w:wordWrap/>
        <w:overflowPunct/>
        <w:topLinePunct w:val="0"/>
        <w:autoSpaceDE/>
        <w:autoSpaceDN/>
        <w:bidi w:val="0"/>
        <w:adjustRightInd w:val="0"/>
        <w:snapToGrid w:val="0"/>
        <w:spacing w:after="0" w:line="460" w:lineRule="atLeast"/>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以保函（保单）形式缴纳的保证金按相关协议执行，无需办理退款手续。</w:t>
      </w:r>
    </w:p>
    <w:p w14:paraId="35801280">
      <w:pPr>
        <w:pStyle w:val="11"/>
        <w:keepNext w:val="0"/>
        <w:keepLines w:val="0"/>
        <w:pageBreakBefore w:val="0"/>
        <w:widowControl w:val="0"/>
        <w:numPr>
          <w:ilvl w:val="0"/>
          <w:numId w:val="24"/>
        </w:numPr>
        <w:tabs>
          <w:tab w:val="left" w:pos="1080"/>
          <w:tab w:val="clear" w:pos="210"/>
        </w:tabs>
        <w:kinsoku/>
        <w:wordWrap/>
        <w:overflowPunct/>
        <w:topLinePunct w:val="0"/>
        <w:autoSpaceDE/>
        <w:autoSpaceDN/>
        <w:bidi w:val="0"/>
        <w:adjustRightInd w:val="0"/>
        <w:snapToGrid w:val="0"/>
        <w:spacing w:after="0" w:line="460" w:lineRule="atLeast"/>
        <w:ind w:left="0" w:leftChars="0" w:firstLine="420" w:firstLineChars="200"/>
        <w:textAlignment w:val="auto"/>
        <w:rPr>
          <w:rFonts w:hint="eastAsia" w:ascii="宋体" w:hAnsi="宋体" w:eastAsia="宋体" w:cs="宋体"/>
          <w:b w:val="0"/>
          <w:color w:val="auto"/>
          <w:sz w:val="21"/>
          <w:szCs w:val="21"/>
          <w:highlight w:val="none"/>
        </w:rPr>
      </w:pPr>
      <w:r>
        <w:rPr>
          <w:rFonts w:hint="eastAsia" w:ascii="宋体" w:hAnsi="宋体" w:eastAsia="宋体" w:cs="宋体"/>
          <w:color w:val="auto"/>
          <w:sz w:val="21"/>
          <w:szCs w:val="21"/>
          <w:highlight w:val="none"/>
        </w:rPr>
        <w:t>有下列情形之一的，保证金将不予退还：</w:t>
      </w:r>
    </w:p>
    <w:p w14:paraId="0A1B08BC">
      <w:pPr>
        <w:pStyle w:val="11"/>
        <w:keepNext w:val="0"/>
        <w:keepLines w:val="0"/>
        <w:pageBreakBefore w:val="0"/>
        <w:widowControl w:val="0"/>
        <w:numPr>
          <w:ilvl w:val="0"/>
          <w:numId w:val="25"/>
        </w:numPr>
        <w:tabs>
          <w:tab w:val="left" w:pos="1080"/>
        </w:tabs>
        <w:kinsoku/>
        <w:wordWrap/>
        <w:overflowPunct/>
        <w:topLinePunct w:val="0"/>
        <w:autoSpaceDE/>
        <w:autoSpaceDN/>
        <w:bidi w:val="0"/>
        <w:adjustRightInd w:val="0"/>
        <w:snapToGrid w:val="0"/>
        <w:spacing w:after="0" w:line="460" w:lineRule="atLeast"/>
        <w:ind w:left="0" w:leftChars="0" w:firstLine="420" w:firstLineChars="200"/>
        <w:textAlignment w:val="auto"/>
        <w:rPr>
          <w:rFonts w:hint="eastAsia" w:ascii="宋体" w:hAnsi="宋体" w:eastAsia="宋体" w:cs="宋体"/>
          <w:b w:val="0"/>
          <w:color w:val="auto"/>
          <w:sz w:val="21"/>
          <w:szCs w:val="21"/>
          <w:highlight w:val="none"/>
        </w:rPr>
      </w:pPr>
      <w:r>
        <w:rPr>
          <w:rFonts w:hint="eastAsia" w:ascii="宋体" w:hAnsi="宋体" w:eastAsia="宋体" w:cs="宋体"/>
          <w:color w:val="auto"/>
          <w:sz w:val="21"/>
          <w:szCs w:val="21"/>
          <w:highlight w:val="none"/>
        </w:rPr>
        <w:t>投标人在规定的投标有效期内撤销或修改其投标文件的；</w:t>
      </w:r>
    </w:p>
    <w:p w14:paraId="5EE26778">
      <w:pPr>
        <w:pStyle w:val="11"/>
        <w:keepNext w:val="0"/>
        <w:keepLines w:val="0"/>
        <w:pageBreakBefore w:val="0"/>
        <w:widowControl w:val="0"/>
        <w:numPr>
          <w:ilvl w:val="0"/>
          <w:numId w:val="25"/>
        </w:numPr>
        <w:tabs>
          <w:tab w:val="left" w:pos="1080"/>
        </w:tabs>
        <w:kinsoku/>
        <w:wordWrap/>
        <w:overflowPunct/>
        <w:topLinePunct w:val="0"/>
        <w:autoSpaceDE/>
        <w:autoSpaceDN/>
        <w:bidi w:val="0"/>
        <w:adjustRightInd w:val="0"/>
        <w:snapToGrid w:val="0"/>
        <w:spacing w:after="0" w:line="460" w:lineRule="atLeast"/>
        <w:ind w:left="0" w:leftChars="0" w:firstLine="420" w:firstLineChars="200"/>
        <w:textAlignment w:val="auto"/>
        <w:rPr>
          <w:rFonts w:hint="eastAsia" w:ascii="宋体" w:hAnsi="宋体" w:eastAsia="宋体" w:cs="宋体"/>
          <w:b w:val="0"/>
          <w:color w:val="auto"/>
          <w:sz w:val="21"/>
          <w:szCs w:val="21"/>
          <w:highlight w:val="none"/>
        </w:rPr>
      </w:pPr>
      <w:r>
        <w:rPr>
          <w:rFonts w:hint="eastAsia" w:ascii="宋体" w:hAnsi="宋体" w:eastAsia="宋体" w:cs="宋体"/>
          <w:color w:val="auto"/>
          <w:sz w:val="21"/>
          <w:szCs w:val="21"/>
          <w:highlight w:val="none"/>
        </w:rPr>
        <w:t>中标人在收到中标通知书后，无正当理由拒绝签订合同协议书或未按招标文件规定提交履约担保；</w:t>
      </w:r>
    </w:p>
    <w:p w14:paraId="7FB6BB92">
      <w:pPr>
        <w:pStyle w:val="11"/>
        <w:keepNext w:val="0"/>
        <w:keepLines w:val="0"/>
        <w:pageBreakBefore w:val="0"/>
        <w:widowControl w:val="0"/>
        <w:numPr>
          <w:ilvl w:val="0"/>
          <w:numId w:val="25"/>
        </w:numPr>
        <w:tabs>
          <w:tab w:val="left" w:pos="1080"/>
        </w:tabs>
        <w:kinsoku/>
        <w:wordWrap/>
        <w:overflowPunct/>
        <w:topLinePunct w:val="0"/>
        <w:autoSpaceDE/>
        <w:autoSpaceDN/>
        <w:bidi w:val="0"/>
        <w:adjustRightInd w:val="0"/>
        <w:snapToGrid w:val="0"/>
        <w:spacing w:after="0" w:line="460" w:lineRule="atLeast"/>
        <w:ind w:left="0" w:leftChars="0" w:firstLine="420" w:firstLineChars="200"/>
        <w:textAlignment w:val="auto"/>
        <w:rPr>
          <w:rFonts w:hint="eastAsia" w:ascii="宋体" w:hAnsi="宋体" w:eastAsia="宋体" w:cs="宋体"/>
          <w:b w:val="0"/>
          <w:color w:val="auto"/>
          <w:sz w:val="21"/>
          <w:szCs w:val="21"/>
          <w:highlight w:val="none"/>
        </w:rPr>
      </w:pPr>
      <w:r>
        <w:rPr>
          <w:rFonts w:hint="eastAsia" w:ascii="宋体" w:hAnsi="宋体" w:eastAsia="宋体" w:cs="宋体"/>
          <w:color w:val="auto"/>
          <w:sz w:val="21"/>
          <w:szCs w:val="21"/>
          <w:highlight w:val="none"/>
        </w:rPr>
        <w:t>中标人在签订合同时向招标人提出附加条件；</w:t>
      </w:r>
    </w:p>
    <w:p w14:paraId="321C1C94">
      <w:pPr>
        <w:pStyle w:val="11"/>
        <w:keepNext w:val="0"/>
        <w:keepLines w:val="0"/>
        <w:pageBreakBefore w:val="0"/>
        <w:widowControl w:val="0"/>
        <w:numPr>
          <w:ilvl w:val="0"/>
          <w:numId w:val="25"/>
        </w:numPr>
        <w:tabs>
          <w:tab w:val="left" w:pos="1080"/>
        </w:tabs>
        <w:kinsoku/>
        <w:wordWrap/>
        <w:overflowPunct/>
        <w:topLinePunct w:val="0"/>
        <w:autoSpaceDE/>
        <w:autoSpaceDN/>
        <w:bidi w:val="0"/>
        <w:adjustRightInd w:val="0"/>
        <w:snapToGrid w:val="0"/>
        <w:spacing w:after="0" w:line="460" w:lineRule="atLeast"/>
        <w:ind w:left="0" w:leftChars="0" w:firstLine="420" w:firstLineChars="200"/>
        <w:textAlignment w:val="auto"/>
        <w:rPr>
          <w:rFonts w:hint="eastAsia" w:ascii="宋体" w:hAnsi="宋体" w:eastAsia="宋体" w:cs="宋体"/>
          <w:b w:val="0"/>
          <w:color w:val="auto"/>
          <w:sz w:val="21"/>
          <w:szCs w:val="21"/>
          <w:highlight w:val="none"/>
        </w:rPr>
      </w:pPr>
      <w:r>
        <w:rPr>
          <w:rFonts w:hint="eastAsia" w:ascii="宋体" w:hAnsi="宋体" w:eastAsia="宋体" w:cs="宋体"/>
          <w:color w:val="auto"/>
          <w:sz w:val="21"/>
          <w:szCs w:val="21"/>
          <w:highlight w:val="none"/>
        </w:rPr>
        <w:t>中标人以非正当理由放弃中标；</w:t>
      </w:r>
    </w:p>
    <w:p w14:paraId="69D661A4">
      <w:pPr>
        <w:pStyle w:val="11"/>
        <w:keepNext w:val="0"/>
        <w:keepLines w:val="0"/>
        <w:pageBreakBefore w:val="0"/>
        <w:widowControl w:val="0"/>
        <w:numPr>
          <w:ilvl w:val="0"/>
          <w:numId w:val="25"/>
        </w:numPr>
        <w:tabs>
          <w:tab w:val="left" w:pos="1080"/>
        </w:tabs>
        <w:kinsoku/>
        <w:wordWrap/>
        <w:overflowPunct/>
        <w:topLinePunct w:val="0"/>
        <w:autoSpaceDE/>
        <w:autoSpaceDN/>
        <w:bidi w:val="0"/>
        <w:adjustRightInd w:val="0"/>
        <w:snapToGrid w:val="0"/>
        <w:spacing w:after="0" w:line="460" w:lineRule="atLeast"/>
        <w:ind w:left="0" w:leftChars="0" w:firstLine="420" w:firstLineChars="200"/>
        <w:textAlignment w:val="auto"/>
        <w:rPr>
          <w:rFonts w:hint="eastAsia" w:ascii="宋体" w:hAnsi="宋体" w:eastAsia="宋体" w:cs="宋体"/>
          <w:b w:val="0"/>
          <w:color w:val="auto"/>
          <w:sz w:val="21"/>
          <w:szCs w:val="21"/>
          <w:highlight w:val="none"/>
        </w:rPr>
      </w:pPr>
      <w:r>
        <w:rPr>
          <w:rFonts w:hint="eastAsia" w:ascii="宋体" w:hAnsi="宋体" w:eastAsia="宋体" w:cs="宋体"/>
          <w:color w:val="auto"/>
          <w:sz w:val="21"/>
          <w:szCs w:val="21"/>
          <w:highlight w:val="none"/>
        </w:rPr>
        <w:t>投标人串通投标的；</w:t>
      </w:r>
    </w:p>
    <w:p w14:paraId="4479EA71">
      <w:pPr>
        <w:pStyle w:val="11"/>
        <w:keepNext w:val="0"/>
        <w:keepLines w:val="0"/>
        <w:pageBreakBefore w:val="0"/>
        <w:widowControl w:val="0"/>
        <w:numPr>
          <w:ilvl w:val="0"/>
          <w:numId w:val="25"/>
        </w:numPr>
        <w:tabs>
          <w:tab w:val="left" w:pos="1080"/>
        </w:tabs>
        <w:kinsoku/>
        <w:wordWrap/>
        <w:overflowPunct/>
        <w:topLinePunct w:val="0"/>
        <w:autoSpaceDE/>
        <w:autoSpaceDN/>
        <w:bidi w:val="0"/>
        <w:adjustRightInd w:val="0"/>
        <w:snapToGrid w:val="0"/>
        <w:spacing w:after="0" w:line="460" w:lineRule="atLeast"/>
        <w:ind w:left="0" w:leftChars="0" w:firstLine="420" w:firstLineChars="200"/>
        <w:textAlignment w:val="auto"/>
        <w:rPr>
          <w:rFonts w:hint="eastAsia" w:ascii="宋体" w:hAnsi="宋体" w:eastAsia="宋体" w:cs="宋体"/>
          <w:b w:val="0"/>
          <w:color w:val="auto"/>
          <w:sz w:val="21"/>
          <w:szCs w:val="21"/>
          <w:highlight w:val="none"/>
        </w:rPr>
      </w:pPr>
      <w:r>
        <w:rPr>
          <w:rFonts w:hint="eastAsia" w:ascii="宋体" w:hAnsi="宋体" w:eastAsia="宋体" w:cs="宋体"/>
          <w:color w:val="auto"/>
          <w:sz w:val="21"/>
          <w:szCs w:val="21"/>
          <w:highlight w:val="none"/>
        </w:rPr>
        <w:t>投标人提供虚假材料、弄虚作假骗取中标的；</w:t>
      </w:r>
    </w:p>
    <w:p w14:paraId="7B96ABE1">
      <w:pPr>
        <w:pStyle w:val="11"/>
        <w:keepNext w:val="0"/>
        <w:keepLines w:val="0"/>
        <w:pageBreakBefore w:val="0"/>
        <w:widowControl w:val="0"/>
        <w:numPr>
          <w:ilvl w:val="0"/>
          <w:numId w:val="25"/>
        </w:numPr>
        <w:tabs>
          <w:tab w:val="left" w:pos="1080"/>
        </w:tabs>
        <w:kinsoku/>
        <w:wordWrap/>
        <w:overflowPunct/>
        <w:topLinePunct w:val="0"/>
        <w:autoSpaceDE/>
        <w:autoSpaceDN/>
        <w:bidi w:val="0"/>
        <w:adjustRightInd w:val="0"/>
        <w:snapToGrid w:val="0"/>
        <w:spacing w:after="0" w:line="460" w:lineRule="atLeast"/>
        <w:ind w:left="0" w:leftChars="0" w:firstLine="420" w:firstLineChars="200"/>
        <w:textAlignment w:val="auto"/>
        <w:rPr>
          <w:rFonts w:hint="eastAsia" w:ascii="宋体" w:hAnsi="宋体" w:eastAsia="宋体" w:cs="宋体"/>
          <w:b w:val="0"/>
          <w:color w:val="auto"/>
          <w:sz w:val="21"/>
          <w:szCs w:val="21"/>
          <w:highlight w:val="none"/>
        </w:rPr>
      </w:pPr>
      <w:r>
        <w:rPr>
          <w:rFonts w:hint="eastAsia" w:ascii="宋体" w:hAnsi="宋体" w:eastAsia="宋体" w:cs="宋体"/>
          <w:color w:val="auto"/>
          <w:sz w:val="21"/>
          <w:szCs w:val="21"/>
          <w:highlight w:val="none"/>
        </w:rPr>
        <w:t>投标人隐瞒事实导致流标的。</w:t>
      </w:r>
    </w:p>
    <w:p w14:paraId="0BE2C87B">
      <w:pPr>
        <w:pStyle w:val="3"/>
        <w:keepNext w:val="0"/>
        <w:keepLines w:val="0"/>
        <w:pageBreakBefore w:val="0"/>
        <w:widowControl w:val="0"/>
        <w:numPr>
          <w:ilvl w:val="0"/>
          <w:numId w:val="19"/>
        </w:numPr>
        <w:tabs>
          <w:tab w:val="left" w:pos="861"/>
          <w:tab w:val="clear" w:pos="210"/>
        </w:tabs>
        <w:kinsoku/>
        <w:wordWrap/>
        <w:overflowPunct/>
        <w:topLinePunct w:val="0"/>
        <w:autoSpaceDE/>
        <w:autoSpaceDN/>
        <w:bidi w:val="0"/>
        <w:adjustRightInd w:val="0"/>
        <w:snapToGrid w:val="0"/>
        <w:spacing w:after="0" w:line="460" w:lineRule="atLeast"/>
        <w:ind w:left="0" w:leftChars="0" w:firstLine="422" w:firstLineChars="200"/>
        <w:textAlignment w:val="auto"/>
        <w:rPr>
          <w:rFonts w:hint="eastAsia" w:ascii="宋体" w:hAnsi="宋体" w:eastAsia="宋体" w:cs="宋体"/>
          <w:b/>
          <w:color w:val="auto"/>
          <w:sz w:val="21"/>
          <w:szCs w:val="21"/>
          <w:highlight w:val="none"/>
        </w:rPr>
      </w:pPr>
      <w:r>
        <w:rPr>
          <w:rFonts w:hint="eastAsia" w:ascii="宋体" w:hAnsi="宋体" w:eastAsia="宋体" w:cs="宋体"/>
          <w:color w:val="auto"/>
          <w:sz w:val="21"/>
          <w:szCs w:val="21"/>
          <w:highlight w:val="none"/>
        </w:rPr>
        <w:t>资格审查资料</w:t>
      </w:r>
    </w:p>
    <w:p w14:paraId="0F8082C1">
      <w:pPr>
        <w:pStyle w:val="11"/>
        <w:keepNext w:val="0"/>
        <w:keepLines w:val="0"/>
        <w:pageBreakBefore w:val="0"/>
        <w:widowControl w:val="0"/>
        <w:kinsoku/>
        <w:wordWrap/>
        <w:overflowPunct/>
        <w:topLinePunct w:val="0"/>
        <w:autoSpaceDE/>
        <w:autoSpaceDN/>
        <w:bidi w:val="0"/>
        <w:adjustRightInd w:val="0"/>
        <w:snapToGrid w:val="0"/>
        <w:spacing w:after="0" w:line="460" w:lineRule="atLeast"/>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见本章3.1投标文件的组成。</w:t>
      </w:r>
    </w:p>
    <w:p w14:paraId="47D66ADC">
      <w:pPr>
        <w:pStyle w:val="11"/>
        <w:keepNext w:val="0"/>
        <w:keepLines w:val="0"/>
        <w:pageBreakBefore w:val="0"/>
        <w:widowControl w:val="0"/>
        <w:kinsoku/>
        <w:wordWrap/>
        <w:overflowPunct/>
        <w:topLinePunct w:val="0"/>
        <w:autoSpaceDE/>
        <w:autoSpaceDN/>
        <w:bidi w:val="0"/>
        <w:adjustRightInd w:val="0"/>
        <w:snapToGrid w:val="0"/>
        <w:spacing w:after="0" w:line="460" w:lineRule="atLeast"/>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投标人在编制投标文件时，应按照本章3.1的要求提供资料。各投标人对本企业提供的资料真实性负责，如发现上述资格审查资料不实，依据相关法律法规和规定以投标人弄虚作假骗取中标的行为予以相应处罚。</w:t>
      </w:r>
    </w:p>
    <w:p w14:paraId="3D5C99FA">
      <w:pPr>
        <w:pStyle w:val="11"/>
        <w:keepNext w:val="0"/>
        <w:keepLines w:val="0"/>
        <w:pageBreakBefore w:val="0"/>
        <w:widowControl w:val="0"/>
        <w:kinsoku/>
        <w:wordWrap/>
        <w:overflowPunct/>
        <w:topLinePunct w:val="0"/>
        <w:autoSpaceDE/>
        <w:autoSpaceDN/>
        <w:bidi w:val="0"/>
        <w:adjustRightInd w:val="0"/>
        <w:snapToGrid w:val="0"/>
        <w:spacing w:after="0" w:line="460" w:lineRule="atLeast"/>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特别提醒:</w:t>
      </w:r>
    </w:p>
    <w:p w14:paraId="0A49E8E7">
      <w:pPr>
        <w:pStyle w:val="11"/>
        <w:keepNext w:val="0"/>
        <w:keepLines w:val="0"/>
        <w:pageBreakBefore w:val="0"/>
        <w:widowControl w:val="0"/>
        <w:numPr>
          <w:ilvl w:val="0"/>
          <w:numId w:val="0"/>
        </w:numPr>
        <w:tabs>
          <w:tab w:val="left" w:pos="780"/>
        </w:tabs>
        <w:kinsoku/>
        <w:wordWrap/>
        <w:overflowPunct/>
        <w:topLinePunct w:val="0"/>
        <w:autoSpaceDE/>
        <w:autoSpaceDN/>
        <w:bidi w:val="0"/>
        <w:adjustRightInd w:val="0"/>
        <w:snapToGrid w:val="0"/>
        <w:spacing w:after="0" w:line="460" w:lineRule="atLeast"/>
        <w:ind w:firstLine="422" w:firstLineChars="200"/>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val="en-US" w:eastAsia="zh-CN"/>
        </w:rPr>
        <w:t>1.</w:t>
      </w:r>
      <w:r>
        <w:rPr>
          <w:rFonts w:hint="eastAsia" w:ascii="宋体" w:hAnsi="宋体" w:eastAsia="宋体" w:cs="宋体"/>
          <w:b/>
          <w:bCs/>
          <w:color w:val="auto"/>
          <w:sz w:val="21"/>
          <w:szCs w:val="21"/>
          <w:highlight w:val="none"/>
        </w:rPr>
        <w:t>因扫描件不清晰无法辨认，或提供的关键信息不全导致被评委废标，后果由投标人自负。</w:t>
      </w:r>
    </w:p>
    <w:p w14:paraId="4EA7E96B">
      <w:pPr>
        <w:pStyle w:val="11"/>
        <w:keepNext w:val="0"/>
        <w:keepLines w:val="0"/>
        <w:pageBreakBefore w:val="0"/>
        <w:widowControl w:val="0"/>
        <w:numPr>
          <w:ilvl w:val="0"/>
          <w:numId w:val="0"/>
        </w:numPr>
        <w:tabs>
          <w:tab w:val="left" w:pos="780"/>
        </w:tabs>
        <w:kinsoku/>
        <w:wordWrap/>
        <w:overflowPunct/>
        <w:topLinePunct w:val="0"/>
        <w:autoSpaceDE/>
        <w:autoSpaceDN/>
        <w:bidi w:val="0"/>
        <w:adjustRightInd w:val="0"/>
        <w:snapToGrid w:val="0"/>
        <w:spacing w:after="0" w:line="460" w:lineRule="atLeast"/>
        <w:ind w:firstLine="422" w:firstLineChars="200"/>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val="en-US" w:eastAsia="zh-CN"/>
        </w:rPr>
        <w:t>2.</w:t>
      </w:r>
      <w:r>
        <w:rPr>
          <w:rFonts w:hint="eastAsia" w:ascii="宋体" w:hAnsi="宋体" w:eastAsia="宋体" w:cs="宋体"/>
          <w:b/>
          <w:bCs/>
          <w:color w:val="auto"/>
          <w:sz w:val="21"/>
          <w:szCs w:val="21"/>
          <w:highlight w:val="none"/>
        </w:rPr>
        <w:t>因资质换证或其他原因显示证书过期的，主管部门对证书有效期延长有特殊规定的，投标时需提供相关说明，资格审查方予通过。</w:t>
      </w:r>
    </w:p>
    <w:p w14:paraId="6855C52D">
      <w:pPr>
        <w:pStyle w:val="11"/>
        <w:keepNext w:val="0"/>
        <w:keepLines w:val="0"/>
        <w:pageBreakBefore w:val="0"/>
        <w:widowControl w:val="0"/>
        <w:kinsoku/>
        <w:wordWrap/>
        <w:overflowPunct/>
        <w:topLinePunct w:val="0"/>
        <w:autoSpaceDE/>
        <w:autoSpaceDN/>
        <w:bidi w:val="0"/>
        <w:adjustRightInd w:val="0"/>
        <w:snapToGrid w:val="0"/>
        <w:spacing w:after="0" w:line="460" w:lineRule="atLeast"/>
        <w:ind w:left="0" w:leftChars="0" w:firstLine="422" w:firstLineChars="200"/>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lang w:val="en-US" w:eastAsia="zh-CN"/>
        </w:rPr>
        <w:t>3.</w:t>
      </w:r>
      <w:r>
        <w:rPr>
          <w:rFonts w:hint="eastAsia" w:ascii="宋体" w:hAnsi="宋体" w:eastAsia="宋体" w:cs="宋体"/>
          <w:b/>
          <w:bCs/>
          <w:color w:val="auto"/>
          <w:sz w:val="21"/>
          <w:szCs w:val="21"/>
          <w:highlight w:val="none"/>
        </w:rPr>
        <w:t>若中标候选人上述有关证书有效性被质疑的，被质疑人出具发证机关证明或通过二维码或证书查询系统能够证明有效即可</w:t>
      </w:r>
      <w:r>
        <w:rPr>
          <w:rFonts w:hint="eastAsia" w:ascii="宋体" w:hAnsi="宋体" w:eastAsia="宋体" w:cs="宋体"/>
          <w:color w:val="auto"/>
          <w:sz w:val="21"/>
          <w:szCs w:val="21"/>
          <w:highlight w:val="none"/>
        </w:rPr>
        <w:t>。</w:t>
      </w:r>
    </w:p>
    <w:p w14:paraId="28DB16B4">
      <w:pPr>
        <w:pStyle w:val="3"/>
        <w:keepNext w:val="0"/>
        <w:keepLines w:val="0"/>
        <w:pageBreakBefore w:val="0"/>
        <w:widowControl w:val="0"/>
        <w:numPr>
          <w:ilvl w:val="0"/>
          <w:numId w:val="19"/>
        </w:numPr>
        <w:tabs>
          <w:tab w:val="left" w:pos="861"/>
          <w:tab w:val="clear" w:pos="210"/>
        </w:tabs>
        <w:kinsoku/>
        <w:wordWrap/>
        <w:overflowPunct/>
        <w:topLinePunct w:val="0"/>
        <w:autoSpaceDE/>
        <w:autoSpaceDN/>
        <w:bidi w:val="0"/>
        <w:adjustRightInd w:val="0"/>
        <w:snapToGrid w:val="0"/>
        <w:spacing w:after="0" w:line="460" w:lineRule="atLeast"/>
        <w:ind w:left="0" w:leftChars="0" w:firstLine="420" w:firstLineChars="200"/>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备选投标方案</w:t>
      </w:r>
    </w:p>
    <w:p w14:paraId="25632479">
      <w:pPr>
        <w:pStyle w:val="11"/>
        <w:keepNext w:val="0"/>
        <w:keepLines w:val="0"/>
        <w:pageBreakBefore w:val="0"/>
        <w:widowControl w:val="0"/>
        <w:numPr>
          <w:ilvl w:val="0"/>
          <w:numId w:val="26"/>
        </w:numPr>
        <w:tabs>
          <w:tab w:val="left" w:pos="1080"/>
          <w:tab w:val="clear" w:pos="210"/>
        </w:tabs>
        <w:kinsoku/>
        <w:wordWrap/>
        <w:overflowPunct/>
        <w:topLinePunct w:val="0"/>
        <w:autoSpaceDE/>
        <w:autoSpaceDN/>
        <w:bidi w:val="0"/>
        <w:adjustRightInd w:val="0"/>
        <w:snapToGrid w:val="0"/>
        <w:spacing w:after="0" w:line="460" w:lineRule="atLeast"/>
        <w:ind w:left="0" w:leftChars="0" w:firstLine="420" w:firstLineChars="200"/>
        <w:textAlignment w:val="auto"/>
        <w:rPr>
          <w:rFonts w:hint="eastAsia" w:ascii="宋体" w:hAnsi="宋体" w:eastAsia="宋体" w:cs="宋体"/>
          <w:b w:val="0"/>
          <w:color w:val="auto"/>
          <w:sz w:val="21"/>
          <w:szCs w:val="21"/>
          <w:highlight w:val="none"/>
        </w:rPr>
      </w:pPr>
      <w:r>
        <w:rPr>
          <w:rFonts w:hint="eastAsia" w:ascii="宋体" w:hAnsi="宋体" w:eastAsia="宋体" w:cs="宋体"/>
          <w:color w:val="auto"/>
          <w:sz w:val="21"/>
          <w:szCs w:val="21"/>
          <w:highlight w:val="none"/>
        </w:rPr>
        <w:t>除投标人须知前附表另有规定外，投标人不得递交备选投标方案，否则其投标将被否决。</w:t>
      </w:r>
    </w:p>
    <w:p w14:paraId="3268D527">
      <w:pPr>
        <w:pStyle w:val="11"/>
        <w:keepNext w:val="0"/>
        <w:keepLines w:val="0"/>
        <w:pageBreakBefore w:val="0"/>
        <w:widowControl w:val="0"/>
        <w:numPr>
          <w:ilvl w:val="0"/>
          <w:numId w:val="26"/>
        </w:numPr>
        <w:tabs>
          <w:tab w:val="left" w:pos="1080"/>
          <w:tab w:val="clear" w:pos="210"/>
        </w:tabs>
        <w:kinsoku/>
        <w:wordWrap/>
        <w:overflowPunct/>
        <w:topLinePunct w:val="0"/>
        <w:autoSpaceDE/>
        <w:autoSpaceDN/>
        <w:bidi w:val="0"/>
        <w:adjustRightInd w:val="0"/>
        <w:snapToGrid w:val="0"/>
        <w:spacing w:after="0" w:line="460" w:lineRule="atLeast"/>
        <w:ind w:left="0" w:leftChars="0" w:firstLine="420" w:firstLineChars="200"/>
        <w:textAlignment w:val="auto"/>
        <w:rPr>
          <w:rFonts w:hint="eastAsia" w:ascii="宋体" w:hAnsi="宋体" w:eastAsia="宋体" w:cs="宋体"/>
          <w:b w:val="0"/>
          <w:color w:val="auto"/>
          <w:sz w:val="21"/>
          <w:szCs w:val="21"/>
          <w:highlight w:val="none"/>
        </w:rPr>
      </w:pPr>
      <w:r>
        <w:rPr>
          <w:rFonts w:hint="eastAsia" w:ascii="宋体" w:hAnsi="宋体" w:eastAsia="宋体" w:cs="宋体"/>
          <w:color w:val="auto"/>
          <w:sz w:val="21"/>
          <w:szCs w:val="21"/>
          <w:highlight w:val="none"/>
        </w:rPr>
        <w:t>允许投标人递交备选投标方案的，只有中标候选人所递交的备选投标方案方可予以考虑。评标委员会认为中标候选人的备选投标方案优于其按照招标文件要求编制的投标方案的，招标人可以接受该备选投标方案。</w:t>
      </w:r>
    </w:p>
    <w:p w14:paraId="6A0DE5DB">
      <w:pPr>
        <w:pStyle w:val="11"/>
        <w:keepNext w:val="0"/>
        <w:keepLines w:val="0"/>
        <w:pageBreakBefore w:val="0"/>
        <w:widowControl w:val="0"/>
        <w:numPr>
          <w:ilvl w:val="0"/>
          <w:numId w:val="26"/>
        </w:numPr>
        <w:tabs>
          <w:tab w:val="left" w:pos="1080"/>
          <w:tab w:val="clear" w:pos="210"/>
        </w:tabs>
        <w:kinsoku/>
        <w:wordWrap/>
        <w:overflowPunct/>
        <w:topLinePunct w:val="0"/>
        <w:autoSpaceDE/>
        <w:autoSpaceDN/>
        <w:bidi w:val="0"/>
        <w:adjustRightInd w:val="0"/>
        <w:snapToGrid w:val="0"/>
        <w:spacing w:after="0" w:line="460" w:lineRule="atLeast"/>
        <w:ind w:left="0" w:leftChars="0" w:firstLine="420" w:firstLineChars="200"/>
        <w:textAlignment w:val="auto"/>
        <w:rPr>
          <w:rFonts w:hint="eastAsia" w:ascii="宋体" w:hAnsi="宋体" w:eastAsia="宋体" w:cs="宋体"/>
          <w:b w:val="0"/>
          <w:color w:val="auto"/>
          <w:sz w:val="21"/>
          <w:szCs w:val="21"/>
          <w:highlight w:val="none"/>
        </w:rPr>
      </w:pPr>
      <w:r>
        <w:rPr>
          <w:rFonts w:hint="eastAsia" w:ascii="宋体" w:hAnsi="宋体" w:eastAsia="宋体" w:cs="宋体"/>
          <w:color w:val="auto"/>
          <w:sz w:val="21"/>
          <w:szCs w:val="21"/>
          <w:highlight w:val="none"/>
        </w:rPr>
        <w:t>投标人提供两个或两个以上投标报价，或者在投标文件中提供一个报价，但同时提供两个或两个以上服务方案的，视为提供备选方案。</w:t>
      </w:r>
    </w:p>
    <w:p w14:paraId="723D05A4">
      <w:pPr>
        <w:pStyle w:val="3"/>
        <w:keepNext w:val="0"/>
        <w:keepLines w:val="0"/>
        <w:pageBreakBefore w:val="0"/>
        <w:widowControl w:val="0"/>
        <w:numPr>
          <w:ilvl w:val="0"/>
          <w:numId w:val="19"/>
        </w:numPr>
        <w:tabs>
          <w:tab w:val="left" w:pos="861"/>
          <w:tab w:val="clear" w:pos="210"/>
        </w:tabs>
        <w:kinsoku/>
        <w:wordWrap/>
        <w:overflowPunct/>
        <w:topLinePunct w:val="0"/>
        <w:autoSpaceDE/>
        <w:autoSpaceDN/>
        <w:bidi w:val="0"/>
        <w:adjustRightInd w:val="0"/>
        <w:snapToGrid w:val="0"/>
        <w:spacing w:after="0" w:line="460" w:lineRule="atLeast"/>
        <w:ind w:left="0" w:leftChars="0" w:firstLine="422" w:firstLineChars="200"/>
        <w:textAlignment w:val="auto"/>
        <w:rPr>
          <w:rFonts w:hint="eastAsia" w:ascii="宋体" w:hAnsi="宋体" w:eastAsia="宋体" w:cs="宋体"/>
          <w:b/>
          <w:color w:val="auto"/>
          <w:sz w:val="21"/>
          <w:szCs w:val="21"/>
          <w:highlight w:val="none"/>
        </w:rPr>
      </w:pPr>
      <w:r>
        <w:rPr>
          <w:rFonts w:hint="eastAsia" w:ascii="宋体" w:hAnsi="宋体" w:eastAsia="宋体" w:cs="宋体"/>
          <w:color w:val="auto"/>
          <w:sz w:val="21"/>
          <w:szCs w:val="21"/>
          <w:highlight w:val="none"/>
        </w:rPr>
        <w:t>投标文件的编制</w:t>
      </w:r>
    </w:p>
    <w:p w14:paraId="37DECBF8">
      <w:pPr>
        <w:pStyle w:val="11"/>
        <w:keepNext w:val="0"/>
        <w:keepLines w:val="0"/>
        <w:pageBreakBefore w:val="0"/>
        <w:widowControl w:val="0"/>
        <w:numPr>
          <w:ilvl w:val="0"/>
          <w:numId w:val="27"/>
        </w:numPr>
        <w:tabs>
          <w:tab w:val="left" w:pos="1080"/>
          <w:tab w:val="clear" w:pos="210"/>
        </w:tabs>
        <w:kinsoku/>
        <w:wordWrap/>
        <w:overflowPunct/>
        <w:topLinePunct w:val="0"/>
        <w:autoSpaceDE/>
        <w:autoSpaceDN/>
        <w:bidi w:val="0"/>
        <w:adjustRightInd w:val="0"/>
        <w:snapToGrid w:val="0"/>
        <w:spacing w:after="0" w:line="460" w:lineRule="atLeast"/>
        <w:ind w:left="0" w:leftChars="0" w:firstLine="420" w:firstLineChars="200"/>
        <w:textAlignment w:val="auto"/>
        <w:rPr>
          <w:rFonts w:hint="eastAsia" w:ascii="宋体" w:hAnsi="宋体" w:eastAsia="宋体" w:cs="宋体"/>
          <w:b w:val="0"/>
          <w:color w:val="auto"/>
          <w:sz w:val="21"/>
          <w:szCs w:val="21"/>
          <w:highlight w:val="none"/>
        </w:rPr>
      </w:pPr>
      <w:r>
        <w:rPr>
          <w:rFonts w:hint="eastAsia" w:ascii="宋体" w:hAnsi="宋体" w:eastAsia="宋体" w:cs="宋体"/>
          <w:color w:val="auto"/>
          <w:sz w:val="21"/>
          <w:szCs w:val="21"/>
          <w:highlight w:val="none"/>
        </w:rPr>
        <w:t>投标文件应按3.1投标文件的组成和“第六章 投标文件格式”进行编写，并按要求提交相关证明材料。</w:t>
      </w:r>
    </w:p>
    <w:p w14:paraId="4D02C440">
      <w:pPr>
        <w:pStyle w:val="11"/>
        <w:keepNext w:val="0"/>
        <w:keepLines w:val="0"/>
        <w:pageBreakBefore w:val="0"/>
        <w:widowControl w:val="0"/>
        <w:numPr>
          <w:ilvl w:val="0"/>
          <w:numId w:val="27"/>
        </w:numPr>
        <w:tabs>
          <w:tab w:val="left" w:pos="1080"/>
          <w:tab w:val="clear" w:pos="210"/>
        </w:tabs>
        <w:kinsoku/>
        <w:wordWrap/>
        <w:overflowPunct/>
        <w:topLinePunct w:val="0"/>
        <w:autoSpaceDE/>
        <w:autoSpaceDN/>
        <w:bidi w:val="0"/>
        <w:adjustRightInd w:val="0"/>
        <w:snapToGrid w:val="0"/>
        <w:spacing w:after="0" w:line="460" w:lineRule="atLeast"/>
        <w:ind w:left="0" w:leftChars="0" w:firstLine="420" w:firstLineChars="200"/>
        <w:textAlignment w:val="auto"/>
        <w:rPr>
          <w:rFonts w:hint="eastAsia" w:ascii="宋体" w:hAnsi="宋体" w:eastAsia="宋体" w:cs="宋体"/>
          <w:b w:val="0"/>
          <w:color w:val="auto"/>
          <w:sz w:val="21"/>
          <w:szCs w:val="21"/>
          <w:highlight w:val="none"/>
        </w:rPr>
      </w:pPr>
      <w:r>
        <w:rPr>
          <w:rFonts w:hint="eastAsia" w:ascii="宋体" w:hAnsi="宋体" w:eastAsia="宋体" w:cs="宋体"/>
          <w:color w:val="auto"/>
          <w:sz w:val="21"/>
          <w:szCs w:val="21"/>
          <w:highlight w:val="none"/>
        </w:rPr>
        <w:t>投标人应当阅读招标文件的所有内容，并按照招标文件的要求编制投标文件。投标文件应当对招标文件提出的要求和条件作出明确响应。如果投标人没有按照招标文件中要求和规定编制投标文件及提交全部资料，或者投标文件没有对招标文件在各方面都作出实质性响应，其风险由投标人承担。没有实质性响应招标文件要求的投标将被拒绝。</w:t>
      </w:r>
    </w:p>
    <w:p w14:paraId="07BF2197">
      <w:pPr>
        <w:pStyle w:val="11"/>
        <w:keepNext w:val="0"/>
        <w:keepLines w:val="0"/>
        <w:pageBreakBefore w:val="0"/>
        <w:widowControl w:val="0"/>
        <w:numPr>
          <w:ilvl w:val="0"/>
          <w:numId w:val="27"/>
        </w:numPr>
        <w:tabs>
          <w:tab w:val="left" w:pos="1080"/>
          <w:tab w:val="clear" w:pos="210"/>
        </w:tabs>
        <w:kinsoku/>
        <w:wordWrap/>
        <w:overflowPunct/>
        <w:topLinePunct w:val="0"/>
        <w:autoSpaceDE/>
        <w:autoSpaceDN/>
        <w:bidi w:val="0"/>
        <w:adjustRightInd w:val="0"/>
        <w:snapToGrid w:val="0"/>
        <w:spacing w:after="0" w:line="460" w:lineRule="atLeast"/>
        <w:ind w:left="0" w:leftChars="0" w:firstLine="420" w:firstLineChars="200"/>
        <w:textAlignment w:val="auto"/>
        <w:rPr>
          <w:rFonts w:hint="eastAsia" w:ascii="宋体" w:hAnsi="宋体" w:eastAsia="宋体" w:cs="宋体"/>
          <w:b w:val="0"/>
          <w:color w:val="auto"/>
          <w:sz w:val="21"/>
          <w:szCs w:val="21"/>
          <w:highlight w:val="none"/>
        </w:rPr>
      </w:pPr>
      <w:r>
        <w:rPr>
          <w:rFonts w:hint="eastAsia" w:ascii="宋体" w:hAnsi="宋体" w:eastAsia="宋体" w:cs="宋体"/>
          <w:color w:val="auto"/>
          <w:sz w:val="21"/>
          <w:szCs w:val="21"/>
          <w:highlight w:val="none"/>
        </w:rPr>
        <w:t>应按招标文件规定的格式认真如实填写投标文件的所有栏目和内容，不得缺项、漏项。</w:t>
      </w:r>
    </w:p>
    <w:p w14:paraId="1EF9E035">
      <w:pPr>
        <w:pStyle w:val="11"/>
        <w:keepNext w:val="0"/>
        <w:keepLines w:val="0"/>
        <w:pageBreakBefore w:val="0"/>
        <w:widowControl w:val="0"/>
        <w:numPr>
          <w:ilvl w:val="0"/>
          <w:numId w:val="27"/>
        </w:numPr>
        <w:tabs>
          <w:tab w:val="left" w:pos="1080"/>
          <w:tab w:val="clear" w:pos="210"/>
        </w:tabs>
        <w:kinsoku/>
        <w:wordWrap/>
        <w:overflowPunct/>
        <w:topLinePunct w:val="0"/>
        <w:autoSpaceDE/>
        <w:autoSpaceDN/>
        <w:bidi w:val="0"/>
        <w:adjustRightInd w:val="0"/>
        <w:snapToGrid w:val="0"/>
        <w:spacing w:after="0" w:line="460" w:lineRule="atLeast"/>
        <w:ind w:left="0" w:leftChars="0" w:firstLine="420" w:firstLineChars="200"/>
        <w:textAlignment w:val="auto"/>
        <w:rPr>
          <w:rFonts w:hint="eastAsia" w:ascii="宋体" w:hAnsi="宋体" w:eastAsia="宋体" w:cs="宋体"/>
          <w:b w:val="0"/>
          <w:color w:val="auto"/>
          <w:sz w:val="21"/>
          <w:szCs w:val="21"/>
          <w:highlight w:val="none"/>
        </w:rPr>
      </w:pPr>
      <w:r>
        <w:rPr>
          <w:rFonts w:hint="eastAsia" w:ascii="宋体" w:hAnsi="宋体" w:eastAsia="宋体" w:cs="宋体"/>
          <w:color w:val="auto"/>
          <w:sz w:val="21"/>
          <w:szCs w:val="21"/>
          <w:highlight w:val="none"/>
        </w:rPr>
        <w:t>投标文件应符合招标文件和投标截止时间前招标人、招标代理机构可能发出的澄清、修改或补充文件的要求。</w:t>
      </w:r>
    </w:p>
    <w:p w14:paraId="2961B7CD">
      <w:pPr>
        <w:pStyle w:val="11"/>
        <w:keepNext w:val="0"/>
        <w:keepLines w:val="0"/>
        <w:pageBreakBefore w:val="0"/>
        <w:widowControl w:val="0"/>
        <w:numPr>
          <w:ilvl w:val="0"/>
          <w:numId w:val="27"/>
        </w:numPr>
        <w:tabs>
          <w:tab w:val="left" w:pos="1080"/>
          <w:tab w:val="clear" w:pos="210"/>
        </w:tabs>
        <w:kinsoku/>
        <w:wordWrap/>
        <w:overflowPunct/>
        <w:topLinePunct w:val="0"/>
        <w:autoSpaceDE/>
        <w:autoSpaceDN/>
        <w:bidi w:val="0"/>
        <w:adjustRightInd w:val="0"/>
        <w:snapToGrid w:val="0"/>
        <w:spacing w:after="0" w:line="460" w:lineRule="atLeast"/>
        <w:ind w:left="0" w:leftChars="0" w:firstLine="420" w:firstLineChars="200"/>
        <w:textAlignment w:val="auto"/>
        <w:rPr>
          <w:rFonts w:hint="eastAsia" w:ascii="宋体" w:hAnsi="宋体" w:eastAsia="宋体" w:cs="宋体"/>
          <w:b w:val="0"/>
          <w:color w:val="auto"/>
          <w:sz w:val="21"/>
          <w:szCs w:val="21"/>
          <w:highlight w:val="none"/>
        </w:rPr>
      </w:pPr>
      <w:r>
        <w:rPr>
          <w:rFonts w:hint="eastAsia" w:ascii="宋体" w:hAnsi="宋体" w:eastAsia="宋体" w:cs="宋体"/>
          <w:color w:val="auto"/>
          <w:sz w:val="21"/>
          <w:szCs w:val="21"/>
          <w:highlight w:val="none"/>
        </w:rPr>
        <w:t>投标文件中所有信息和材料的完整性、真实性、有效性和清晰度等由投标人自行负责。</w:t>
      </w:r>
    </w:p>
    <w:p w14:paraId="592907C2">
      <w:pPr>
        <w:pStyle w:val="11"/>
        <w:keepNext w:val="0"/>
        <w:keepLines w:val="0"/>
        <w:pageBreakBefore w:val="0"/>
        <w:widowControl w:val="0"/>
        <w:kinsoku/>
        <w:wordWrap/>
        <w:overflowPunct/>
        <w:topLinePunct w:val="0"/>
        <w:autoSpaceDE/>
        <w:autoSpaceDN/>
        <w:bidi w:val="0"/>
        <w:adjustRightInd w:val="0"/>
        <w:snapToGrid w:val="0"/>
        <w:spacing w:after="0" w:line="460" w:lineRule="atLeast"/>
        <w:ind w:left="0" w:leftChars="0" w:firstLine="422" w:firstLineChars="200"/>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评标委员会或招标人对投标文件中信息和材料真实性、有效性等有疑的，可要求投标人进一步提供证明材料。</w:t>
      </w:r>
    </w:p>
    <w:p w14:paraId="3222E67C">
      <w:pPr>
        <w:pStyle w:val="11"/>
        <w:keepNext w:val="0"/>
        <w:keepLines w:val="0"/>
        <w:pageBreakBefore w:val="0"/>
        <w:widowControl w:val="0"/>
        <w:numPr>
          <w:ilvl w:val="0"/>
          <w:numId w:val="27"/>
        </w:numPr>
        <w:tabs>
          <w:tab w:val="left" w:pos="1080"/>
          <w:tab w:val="clear" w:pos="210"/>
        </w:tabs>
        <w:kinsoku/>
        <w:wordWrap/>
        <w:overflowPunct/>
        <w:topLinePunct w:val="0"/>
        <w:autoSpaceDE/>
        <w:autoSpaceDN/>
        <w:bidi w:val="0"/>
        <w:adjustRightInd w:val="0"/>
        <w:snapToGrid w:val="0"/>
        <w:spacing w:after="0" w:line="460" w:lineRule="atLeast"/>
        <w:ind w:left="0" w:leftChars="0" w:firstLine="420" w:firstLineChars="200"/>
        <w:textAlignment w:val="auto"/>
        <w:rPr>
          <w:rFonts w:hint="eastAsia" w:ascii="宋体" w:hAnsi="宋体" w:eastAsia="宋体" w:cs="宋体"/>
          <w:b w:val="0"/>
          <w:color w:val="auto"/>
          <w:sz w:val="21"/>
          <w:szCs w:val="21"/>
          <w:highlight w:val="none"/>
        </w:rPr>
      </w:pPr>
      <w:r>
        <w:rPr>
          <w:rFonts w:hint="eastAsia" w:ascii="宋体" w:hAnsi="宋体" w:eastAsia="宋体" w:cs="宋体"/>
          <w:color w:val="auto"/>
          <w:sz w:val="21"/>
          <w:szCs w:val="21"/>
          <w:highlight w:val="none"/>
        </w:rPr>
        <w:t>投标人应严格按照招标文件的要求制作投标文件，并按“投标文件的组成及格式”中规定的要求进行签字或盖章。</w:t>
      </w:r>
    </w:p>
    <w:p w14:paraId="79BFF4BD">
      <w:pPr>
        <w:pStyle w:val="11"/>
        <w:keepNext w:val="0"/>
        <w:keepLines w:val="0"/>
        <w:pageBreakBefore w:val="0"/>
        <w:widowControl w:val="0"/>
        <w:numPr>
          <w:ilvl w:val="0"/>
          <w:numId w:val="27"/>
        </w:numPr>
        <w:tabs>
          <w:tab w:val="left" w:pos="1080"/>
          <w:tab w:val="clear" w:pos="210"/>
        </w:tabs>
        <w:kinsoku/>
        <w:wordWrap/>
        <w:overflowPunct/>
        <w:topLinePunct w:val="0"/>
        <w:autoSpaceDE/>
        <w:autoSpaceDN/>
        <w:bidi w:val="0"/>
        <w:adjustRightInd w:val="0"/>
        <w:snapToGrid w:val="0"/>
        <w:spacing w:after="0" w:line="460" w:lineRule="atLeast"/>
        <w:ind w:left="0" w:leftChars="0" w:firstLine="420" w:firstLineChars="200"/>
        <w:textAlignment w:val="auto"/>
        <w:rPr>
          <w:rFonts w:hint="eastAsia" w:ascii="宋体" w:hAnsi="宋体" w:eastAsia="宋体" w:cs="宋体"/>
          <w:b w:val="0"/>
          <w:color w:val="auto"/>
          <w:sz w:val="21"/>
          <w:szCs w:val="21"/>
          <w:highlight w:val="none"/>
        </w:rPr>
      </w:pPr>
      <w:r>
        <w:rPr>
          <w:rFonts w:hint="eastAsia" w:ascii="宋体" w:hAnsi="宋体" w:eastAsia="宋体" w:cs="宋体"/>
          <w:color w:val="auto"/>
          <w:sz w:val="21"/>
          <w:szCs w:val="21"/>
          <w:highlight w:val="none"/>
        </w:rPr>
        <w:t>除投标人对错漏处做必要修改外，投标文件不得行间插字、涂改或增删，如有修改错漏处，必须由投标文件签署人（法定代表人或授权代表）签字或盖章。</w:t>
      </w:r>
    </w:p>
    <w:p w14:paraId="51BF7F06">
      <w:pPr>
        <w:pStyle w:val="11"/>
        <w:keepNext w:val="0"/>
        <w:keepLines w:val="0"/>
        <w:pageBreakBefore w:val="0"/>
        <w:widowControl w:val="0"/>
        <w:numPr>
          <w:ilvl w:val="0"/>
          <w:numId w:val="27"/>
        </w:numPr>
        <w:tabs>
          <w:tab w:val="left" w:pos="1080"/>
          <w:tab w:val="clear" w:pos="210"/>
        </w:tabs>
        <w:kinsoku/>
        <w:wordWrap/>
        <w:overflowPunct/>
        <w:topLinePunct w:val="0"/>
        <w:autoSpaceDE/>
        <w:autoSpaceDN/>
        <w:bidi w:val="0"/>
        <w:adjustRightInd w:val="0"/>
        <w:snapToGrid w:val="0"/>
        <w:spacing w:after="0" w:line="460" w:lineRule="atLeast"/>
        <w:ind w:left="0" w:leftChars="0" w:firstLine="420" w:firstLineChars="200"/>
        <w:textAlignment w:val="auto"/>
        <w:rPr>
          <w:rFonts w:hint="eastAsia" w:ascii="宋体" w:hAnsi="宋体" w:eastAsia="宋体" w:cs="宋体"/>
          <w:b w:val="0"/>
          <w:color w:val="auto"/>
          <w:sz w:val="21"/>
          <w:szCs w:val="21"/>
          <w:highlight w:val="none"/>
        </w:rPr>
      </w:pPr>
      <w:r>
        <w:rPr>
          <w:rFonts w:hint="eastAsia" w:ascii="宋体" w:hAnsi="宋体" w:eastAsia="宋体" w:cs="宋体"/>
          <w:color w:val="auto"/>
          <w:sz w:val="21"/>
          <w:szCs w:val="21"/>
          <w:highlight w:val="none"/>
        </w:rPr>
        <w:t>投标文件应当对招标文件有关工期、投标有效期、质量要求、技术标准和要求、招标范围等实质性内容作出响应。投标文件在满足招标文件实质性要求的基础上，可以提出比招标文件要求更有利于招标人的承诺。</w:t>
      </w:r>
    </w:p>
    <w:p w14:paraId="41B1FD81">
      <w:pPr>
        <w:pStyle w:val="2"/>
        <w:keepNext w:val="0"/>
        <w:keepLines w:val="0"/>
        <w:pageBreakBefore w:val="0"/>
        <w:widowControl w:val="0"/>
        <w:numPr>
          <w:ilvl w:val="0"/>
          <w:numId w:val="4"/>
        </w:numPr>
        <w:tabs>
          <w:tab w:val="left" w:pos="962"/>
          <w:tab w:val="clear" w:pos="210"/>
        </w:tabs>
        <w:kinsoku/>
        <w:wordWrap/>
        <w:overflowPunct/>
        <w:topLinePunct w:val="0"/>
        <w:autoSpaceDE/>
        <w:autoSpaceDN/>
        <w:bidi w:val="0"/>
        <w:adjustRightInd w:val="0"/>
        <w:snapToGrid w:val="0"/>
        <w:spacing w:before="0" w:beforeLines="0" w:after="0" w:line="460" w:lineRule="atLeast"/>
        <w:ind w:left="0" w:leftChars="0" w:firstLine="422" w:firstLineChars="200"/>
        <w:textAlignment w:val="auto"/>
        <w:rPr>
          <w:rFonts w:hint="eastAsia" w:ascii="宋体" w:hAnsi="宋体" w:eastAsia="宋体" w:cs="宋体"/>
          <w:b/>
          <w:color w:val="auto"/>
          <w:sz w:val="21"/>
          <w:szCs w:val="21"/>
          <w:highlight w:val="none"/>
        </w:rPr>
      </w:pPr>
      <w:bookmarkStart w:id="25" w:name="heading_18"/>
      <w:r>
        <w:rPr>
          <w:rFonts w:hint="eastAsia" w:ascii="宋体" w:hAnsi="宋体" w:eastAsia="宋体" w:cs="宋体"/>
          <w:color w:val="auto"/>
          <w:sz w:val="21"/>
          <w:szCs w:val="21"/>
          <w:highlight w:val="none"/>
        </w:rPr>
        <w:t>投标</w:t>
      </w:r>
      <w:bookmarkEnd w:id="25"/>
    </w:p>
    <w:p w14:paraId="135FB416">
      <w:pPr>
        <w:pStyle w:val="3"/>
        <w:keepNext w:val="0"/>
        <w:keepLines w:val="0"/>
        <w:pageBreakBefore w:val="0"/>
        <w:widowControl w:val="0"/>
        <w:numPr>
          <w:ilvl w:val="0"/>
          <w:numId w:val="28"/>
        </w:numPr>
        <w:tabs>
          <w:tab w:val="left" w:pos="861"/>
          <w:tab w:val="clear" w:pos="210"/>
        </w:tabs>
        <w:kinsoku/>
        <w:wordWrap/>
        <w:overflowPunct/>
        <w:topLinePunct w:val="0"/>
        <w:autoSpaceDE/>
        <w:autoSpaceDN/>
        <w:bidi w:val="0"/>
        <w:adjustRightInd w:val="0"/>
        <w:snapToGrid w:val="0"/>
        <w:spacing w:after="0" w:line="460" w:lineRule="atLeast"/>
        <w:ind w:left="0" w:leftChars="0" w:firstLine="422" w:firstLineChars="200"/>
        <w:textAlignment w:val="auto"/>
        <w:rPr>
          <w:rFonts w:hint="eastAsia" w:ascii="宋体" w:hAnsi="宋体" w:eastAsia="宋体" w:cs="宋体"/>
          <w:b/>
          <w:color w:val="auto"/>
          <w:sz w:val="21"/>
          <w:szCs w:val="21"/>
          <w:highlight w:val="none"/>
        </w:rPr>
      </w:pPr>
      <w:r>
        <w:rPr>
          <w:rFonts w:hint="eastAsia" w:ascii="宋体" w:hAnsi="宋体" w:eastAsia="宋体" w:cs="宋体"/>
          <w:color w:val="auto"/>
          <w:sz w:val="21"/>
          <w:szCs w:val="21"/>
          <w:highlight w:val="none"/>
        </w:rPr>
        <w:t>投标文件的密封和标记</w:t>
      </w:r>
    </w:p>
    <w:p w14:paraId="6FFC9EAA">
      <w:pPr>
        <w:pStyle w:val="11"/>
        <w:keepNext w:val="0"/>
        <w:keepLines w:val="0"/>
        <w:pageBreakBefore w:val="0"/>
        <w:widowControl w:val="0"/>
        <w:numPr>
          <w:ilvl w:val="0"/>
          <w:numId w:val="29"/>
        </w:numPr>
        <w:tabs>
          <w:tab w:val="left" w:pos="1080"/>
          <w:tab w:val="clear" w:pos="210"/>
        </w:tabs>
        <w:kinsoku/>
        <w:wordWrap/>
        <w:overflowPunct/>
        <w:topLinePunct w:val="0"/>
        <w:autoSpaceDE/>
        <w:autoSpaceDN/>
        <w:bidi w:val="0"/>
        <w:adjustRightInd w:val="0"/>
        <w:snapToGrid w:val="0"/>
        <w:spacing w:after="0" w:line="460" w:lineRule="atLeast"/>
        <w:ind w:left="0" w:leftChars="0" w:firstLine="420" w:firstLineChars="200"/>
        <w:textAlignment w:val="auto"/>
        <w:rPr>
          <w:rFonts w:hint="eastAsia" w:ascii="宋体" w:hAnsi="宋体" w:eastAsia="宋体" w:cs="宋体"/>
          <w:b w:val="0"/>
          <w:color w:val="auto"/>
          <w:sz w:val="21"/>
          <w:szCs w:val="21"/>
          <w:highlight w:val="none"/>
        </w:rPr>
      </w:pPr>
      <w:r>
        <w:rPr>
          <w:rFonts w:hint="eastAsia" w:ascii="宋体" w:hAnsi="宋体" w:eastAsia="宋体" w:cs="宋体"/>
          <w:color w:val="auto"/>
          <w:sz w:val="21"/>
          <w:szCs w:val="21"/>
          <w:highlight w:val="none"/>
        </w:rPr>
        <w:t>投标文件应清楚地标记“正本”“副本”字样，并包装密封提交（封袋大小、数量可根据需要自行制作）；封袋上分别写明</w:t>
      </w:r>
      <w:r>
        <w:rPr>
          <w:rFonts w:hint="eastAsia" w:ascii="宋体" w:hAnsi="宋体" w:eastAsia="宋体" w:cs="宋体"/>
          <w:color w:val="auto"/>
          <w:sz w:val="21"/>
          <w:szCs w:val="21"/>
          <w:highlight w:val="none"/>
          <w:u w:val="single"/>
        </w:rPr>
        <w:t>招标项目名称和投标人名称</w:t>
      </w:r>
      <w:r>
        <w:rPr>
          <w:rFonts w:hint="eastAsia" w:ascii="宋体" w:hAnsi="宋体" w:eastAsia="宋体" w:cs="宋体"/>
          <w:color w:val="auto"/>
          <w:sz w:val="21"/>
          <w:szCs w:val="21"/>
          <w:highlight w:val="none"/>
        </w:rPr>
        <w:t>，并</w:t>
      </w:r>
      <w:r>
        <w:rPr>
          <w:rFonts w:hint="eastAsia" w:ascii="宋体" w:hAnsi="宋体" w:eastAsia="宋体" w:cs="宋体"/>
          <w:b/>
          <w:bCs/>
          <w:color w:val="auto"/>
          <w:sz w:val="21"/>
          <w:szCs w:val="21"/>
          <w:highlight w:val="none"/>
        </w:rPr>
        <w:t>加盖投标人公章</w:t>
      </w:r>
      <w:r>
        <w:rPr>
          <w:rFonts w:hint="eastAsia" w:ascii="宋体" w:hAnsi="宋体" w:eastAsia="宋体" w:cs="宋体"/>
          <w:color w:val="auto"/>
          <w:sz w:val="21"/>
          <w:szCs w:val="21"/>
          <w:highlight w:val="none"/>
        </w:rPr>
        <w:t>。</w:t>
      </w:r>
    </w:p>
    <w:p w14:paraId="2AF18BA4">
      <w:pPr>
        <w:pStyle w:val="11"/>
        <w:keepNext w:val="0"/>
        <w:keepLines w:val="0"/>
        <w:pageBreakBefore w:val="0"/>
        <w:widowControl w:val="0"/>
        <w:numPr>
          <w:ilvl w:val="0"/>
          <w:numId w:val="29"/>
        </w:numPr>
        <w:tabs>
          <w:tab w:val="left" w:pos="1080"/>
          <w:tab w:val="clear" w:pos="210"/>
        </w:tabs>
        <w:kinsoku/>
        <w:wordWrap/>
        <w:overflowPunct/>
        <w:topLinePunct w:val="0"/>
        <w:autoSpaceDE/>
        <w:autoSpaceDN/>
        <w:bidi w:val="0"/>
        <w:adjustRightInd w:val="0"/>
        <w:snapToGrid w:val="0"/>
        <w:spacing w:after="0" w:line="460" w:lineRule="atLeast"/>
        <w:ind w:left="0" w:leftChars="0" w:firstLine="420" w:firstLineChars="200"/>
        <w:textAlignment w:val="auto"/>
        <w:rPr>
          <w:rFonts w:hint="eastAsia" w:ascii="宋体" w:hAnsi="宋体" w:eastAsia="宋体" w:cs="宋体"/>
          <w:b w:val="0"/>
          <w:color w:val="auto"/>
          <w:sz w:val="21"/>
          <w:szCs w:val="21"/>
          <w:highlight w:val="none"/>
        </w:rPr>
      </w:pPr>
      <w:r>
        <w:rPr>
          <w:rFonts w:hint="eastAsia" w:ascii="宋体" w:hAnsi="宋体" w:eastAsia="宋体" w:cs="宋体"/>
          <w:color w:val="auto"/>
          <w:sz w:val="21"/>
          <w:szCs w:val="21"/>
          <w:highlight w:val="none"/>
        </w:rPr>
        <w:t>所有投标文件装入封袋后都必须</w:t>
      </w:r>
      <w:r>
        <w:rPr>
          <w:rFonts w:hint="eastAsia" w:ascii="宋体" w:hAnsi="宋体" w:eastAsia="宋体" w:cs="宋体"/>
          <w:b/>
          <w:bCs/>
          <w:color w:val="auto"/>
          <w:sz w:val="21"/>
          <w:szCs w:val="21"/>
          <w:highlight w:val="none"/>
        </w:rPr>
        <w:t>密封</w:t>
      </w:r>
      <w:r>
        <w:rPr>
          <w:rFonts w:hint="eastAsia" w:ascii="宋体" w:hAnsi="宋体" w:eastAsia="宋体" w:cs="宋体"/>
          <w:color w:val="auto"/>
          <w:sz w:val="21"/>
          <w:szCs w:val="21"/>
          <w:highlight w:val="none"/>
        </w:rPr>
        <w:t>。未密封的投标文件不予接收。</w:t>
      </w:r>
    </w:p>
    <w:p w14:paraId="31FD0592">
      <w:pPr>
        <w:pStyle w:val="11"/>
        <w:keepNext w:val="0"/>
        <w:keepLines w:val="0"/>
        <w:pageBreakBefore w:val="0"/>
        <w:widowControl w:val="0"/>
        <w:numPr>
          <w:ilvl w:val="0"/>
          <w:numId w:val="29"/>
        </w:numPr>
        <w:tabs>
          <w:tab w:val="left" w:pos="1080"/>
          <w:tab w:val="clear" w:pos="210"/>
        </w:tabs>
        <w:kinsoku/>
        <w:wordWrap/>
        <w:overflowPunct/>
        <w:topLinePunct w:val="0"/>
        <w:autoSpaceDE/>
        <w:autoSpaceDN/>
        <w:bidi w:val="0"/>
        <w:adjustRightInd w:val="0"/>
        <w:snapToGrid w:val="0"/>
        <w:spacing w:after="0" w:line="460" w:lineRule="atLeast"/>
        <w:ind w:left="0" w:leftChars="0" w:firstLine="420" w:firstLineChars="200"/>
        <w:textAlignment w:val="auto"/>
        <w:rPr>
          <w:rFonts w:hint="eastAsia" w:ascii="宋体" w:hAnsi="宋体" w:eastAsia="宋体" w:cs="宋体"/>
          <w:b w:val="0"/>
          <w:color w:val="auto"/>
          <w:sz w:val="21"/>
          <w:szCs w:val="21"/>
          <w:highlight w:val="none"/>
        </w:rPr>
      </w:pPr>
      <w:r>
        <w:rPr>
          <w:rFonts w:hint="eastAsia" w:ascii="宋体" w:hAnsi="宋体" w:eastAsia="宋体" w:cs="宋体"/>
          <w:color w:val="auto"/>
          <w:sz w:val="21"/>
          <w:szCs w:val="21"/>
          <w:highlight w:val="none"/>
        </w:rPr>
        <w:t>投标文件应标明“正本”或“副本”标志，正、副本不一致时，以正本为准。如投标人未按要求标明“正本”或“副本”标志，出现投标文件相互矛盾的情况时，评标委员会将作出不利于投标人的认定。</w:t>
      </w:r>
    </w:p>
    <w:p w14:paraId="28624507">
      <w:pPr>
        <w:pStyle w:val="11"/>
        <w:keepNext w:val="0"/>
        <w:keepLines w:val="0"/>
        <w:pageBreakBefore w:val="0"/>
        <w:widowControl w:val="0"/>
        <w:numPr>
          <w:ilvl w:val="0"/>
          <w:numId w:val="29"/>
        </w:numPr>
        <w:tabs>
          <w:tab w:val="left" w:pos="1080"/>
          <w:tab w:val="clear" w:pos="210"/>
        </w:tabs>
        <w:kinsoku/>
        <w:wordWrap/>
        <w:overflowPunct/>
        <w:topLinePunct w:val="0"/>
        <w:autoSpaceDE/>
        <w:autoSpaceDN/>
        <w:bidi w:val="0"/>
        <w:adjustRightInd w:val="0"/>
        <w:snapToGrid w:val="0"/>
        <w:spacing w:after="0" w:line="460" w:lineRule="atLeast"/>
        <w:ind w:left="0" w:leftChars="0" w:firstLine="420" w:firstLineChars="200"/>
        <w:textAlignment w:val="auto"/>
        <w:rPr>
          <w:rFonts w:hint="eastAsia" w:ascii="宋体" w:hAnsi="宋体" w:eastAsia="宋体" w:cs="宋体"/>
          <w:b w:val="0"/>
          <w:color w:val="auto"/>
          <w:sz w:val="21"/>
          <w:szCs w:val="21"/>
          <w:highlight w:val="none"/>
        </w:rPr>
      </w:pPr>
      <w:r>
        <w:rPr>
          <w:rFonts w:hint="eastAsia" w:ascii="宋体" w:hAnsi="宋体" w:eastAsia="宋体" w:cs="宋体"/>
          <w:color w:val="auto"/>
          <w:sz w:val="21"/>
          <w:szCs w:val="21"/>
          <w:highlight w:val="none"/>
        </w:rPr>
        <w:t>未按本章第4.1.1项及第4.1.2项要求密封和加写标记的投标文件，招标人不予受理。在投标文件唱标前由投标人代表或招标人委托的公证人员检查标书密封情况。</w:t>
      </w:r>
    </w:p>
    <w:p w14:paraId="2A9402AE">
      <w:pPr>
        <w:pStyle w:val="3"/>
        <w:keepNext w:val="0"/>
        <w:keepLines w:val="0"/>
        <w:pageBreakBefore w:val="0"/>
        <w:widowControl w:val="0"/>
        <w:numPr>
          <w:ilvl w:val="0"/>
          <w:numId w:val="28"/>
        </w:numPr>
        <w:tabs>
          <w:tab w:val="left" w:pos="861"/>
          <w:tab w:val="clear" w:pos="210"/>
        </w:tabs>
        <w:kinsoku/>
        <w:wordWrap/>
        <w:overflowPunct/>
        <w:topLinePunct w:val="0"/>
        <w:autoSpaceDE/>
        <w:autoSpaceDN/>
        <w:bidi w:val="0"/>
        <w:adjustRightInd w:val="0"/>
        <w:snapToGrid w:val="0"/>
        <w:spacing w:after="0" w:line="460" w:lineRule="atLeast"/>
        <w:ind w:left="0" w:leftChars="0" w:firstLine="422" w:firstLineChars="200"/>
        <w:textAlignment w:val="auto"/>
        <w:rPr>
          <w:rFonts w:hint="eastAsia" w:ascii="宋体" w:hAnsi="宋体" w:eastAsia="宋体" w:cs="宋体"/>
          <w:b/>
          <w:color w:val="auto"/>
          <w:sz w:val="21"/>
          <w:szCs w:val="21"/>
          <w:highlight w:val="none"/>
        </w:rPr>
      </w:pPr>
      <w:r>
        <w:rPr>
          <w:rFonts w:hint="eastAsia" w:ascii="宋体" w:hAnsi="宋体" w:eastAsia="宋体" w:cs="宋体"/>
          <w:color w:val="auto"/>
          <w:sz w:val="21"/>
          <w:szCs w:val="21"/>
          <w:highlight w:val="none"/>
        </w:rPr>
        <w:t>投标文件的递交</w:t>
      </w:r>
    </w:p>
    <w:p w14:paraId="39C082F9">
      <w:pPr>
        <w:pStyle w:val="11"/>
        <w:keepNext w:val="0"/>
        <w:keepLines w:val="0"/>
        <w:pageBreakBefore w:val="0"/>
        <w:widowControl w:val="0"/>
        <w:numPr>
          <w:ilvl w:val="0"/>
          <w:numId w:val="30"/>
        </w:numPr>
        <w:tabs>
          <w:tab w:val="left" w:pos="1080"/>
          <w:tab w:val="clear" w:pos="210"/>
        </w:tabs>
        <w:kinsoku/>
        <w:wordWrap/>
        <w:overflowPunct/>
        <w:topLinePunct w:val="0"/>
        <w:autoSpaceDE/>
        <w:autoSpaceDN/>
        <w:bidi w:val="0"/>
        <w:adjustRightInd w:val="0"/>
        <w:snapToGrid w:val="0"/>
        <w:spacing w:after="0" w:line="460" w:lineRule="atLeast"/>
        <w:ind w:left="0" w:leftChars="0" w:firstLine="420" w:firstLineChars="200"/>
        <w:textAlignment w:val="auto"/>
        <w:rPr>
          <w:rFonts w:hint="eastAsia" w:ascii="宋体" w:hAnsi="宋体" w:eastAsia="宋体" w:cs="宋体"/>
          <w:b w:val="0"/>
          <w:color w:val="auto"/>
          <w:sz w:val="21"/>
          <w:szCs w:val="21"/>
          <w:highlight w:val="none"/>
        </w:rPr>
      </w:pPr>
      <w:r>
        <w:rPr>
          <w:rFonts w:hint="eastAsia" w:ascii="宋体" w:hAnsi="宋体" w:eastAsia="宋体" w:cs="宋体"/>
          <w:color w:val="auto"/>
          <w:sz w:val="21"/>
          <w:szCs w:val="21"/>
          <w:highlight w:val="none"/>
        </w:rPr>
        <w:t>投标文件递交截止时间（投标截止时间）和地点见投标人须知前附表。</w:t>
      </w:r>
    </w:p>
    <w:p w14:paraId="7E131987">
      <w:pPr>
        <w:pStyle w:val="11"/>
        <w:keepNext w:val="0"/>
        <w:keepLines w:val="0"/>
        <w:pageBreakBefore w:val="0"/>
        <w:widowControl w:val="0"/>
        <w:numPr>
          <w:ilvl w:val="0"/>
          <w:numId w:val="30"/>
        </w:numPr>
        <w:tabs>
          <w:tab w:val="left" w:pos="1080"/>
          <w:tab w:val="clear" w:pos="210"/>
        </w:tabs>
        <w:kinsoku/>
        <w:wordWrap/>
        <w:overflowPunct/>
        <w:topLinePunct w:val="0"/>
        <w:autoSpaceDE/>
        <w:autoSpaceDN/>
        <w:bidi w:val="0"/>
        <w:adjustRightInd w:val="0"/>
        <w:snapToGrid w:val="0"/>
        <w:spacing w:after="0" w:line="460" w:lineRule="atLeast"/>
        <w:ind w:left="0" w:leftChars="0" w:firstLine="420" w:firstLineChars="200"/>
        <w:textAlignment w:val="auto"/>
        <w:rPr>
          <w:rFonts w:hint="eastAsia" w:ascii="宋体" w:hAnsi="宋体" w:eastAsia="宋体" w:cs="宋体"/>
          <w:b w:val="0"/>
          <w:color w:val="auto"/>
          <w:sz w:val="21"/>
          <w:szCs w:val="21"/>
          <w:highlight w:val="none"/>
        </w:rPr>
      </w:pPr>
      <w:r>
        <w:rPr>
          <w:rFonts w:hint="eastAsia" w:ascii="宋体" w:hAnsi="宋体" w:eastAsia="宋体" w:cs="宋体"/>
          <w:color w:val="auto"/>
          <w:sz w:val="21"/>
          <w:szCs w:val="21"/>
          <w:highlight w:val="none"/>
        </w:rPr>
        <w:t>投标文件递交地点：见投标人须知前附表。</w:t>
      </w:r>
    </w:p>
    <w:p w14:paraId="52CAE45D">
      <w:pPr>
        <w:pStyle w:val="11"/>
        <w:keepNext w:val="0"/>
        <w:keepLines w:val="0"/>
        <w:pageBreakBefore w:val="0"/>
        <w:widowControl w:val="0"/>
        <w:numPr>
          <w:ilvl w:val="0"/>
          <w:numId w:val="30"/>
        </w:numPr>
        <w:tabs>
          <w:tab w:val="left" w:pos="1080"/>
          <w:tab w:val="clear" w:pos="210"/>
        </w:tabs>
        <w:kinsoku/>
        <w:wordWrap/>
        <w:overflowPunct/>
        <w:topLinePunct w:val="0"/>
        <w:autoSpaceDE/>
        <w:autoSpaceDN/>
        <w:bidi w:val="0"/>
        <w:adjustRightInd w:val="0"/>
        <w:snapToGrid w:val="0"/>
        <w:spacing w:after="0" w:line="460" w:lineRule="atLeast"/>
        <w:ind w:left="0" w:leftChars="0" w:firstLine="420" w:firstLineChars="200"/>
        <w:textAlignment w:val="auto"/>
        <w:rPr>
          <w:rFonts w:hint="eastAsia" w:ascii="宋体" w:hAnsi="宋体" w:eastAsia="宋体" w:cs="宋体"/>
          <w:b w:val="0"/>
          <w:color w:val="auto"/>
          <w:sz w:val="21"/>
          <w:szCs w:val="21"/>
          <w:highlight w:val="none"/>
        </w:rPr>
      </w:pPr>
      <w:r>
        <w:rPr>
          <w:rFonts w:hint="eastAsia" w:ascii="宋体" w:hAnsi="宋体" w:eastAsia="宋体" w:cs="宋体"/>
          <w:color w:val="auto"/>
          <w:sz w:val="21"/>
          <w:szCs w:val="21"/>
          <w:highlight w:val="none"/>
        </w:rPr>
        <w:t>除投标人须知前附表另有规定外，投标人所递交的投标文件不予退还。</w:t>
      </w:r>
    </w:p>
    <w:p w14:paraId="28852096">
      <w:pPr>
        <w:pStyle w:val="11"/>
        <w:keepNext w:val="0"/>
        <w:keepLines w:val="0"/>
        <w:pageBreakBefore w:val="0"/>
        <w:widowControl w:val="0"/>
        <w:numPr>
          <w:ilvl w:val="0"/>
          <w:numId w:val="30"/>
        </w:numPr>
        <w:tabs>
          <w:tab w:val="left" w:pos="1080"/>
          <w:tab w:val="clear" w:pos="210"/>
        </w:tabs>
        <w:kinsoku/>
        <w:wordWrap/>
        <w:overflowPunct/>
        <w:topLinePunct w:val="0"/>
        <w:autoSpaceDE/>
        <w:autoSpaceDN/>
        <w:bidi w:val="0"/>
        <w:adjustRightInd w:val="0"/>
        <w:snapToGrid w:val="0"/>
        <w:spacing w:after="0" w:line="460" w:lineRule="atLeast"/>
        <w:ind w:left="0" w:leftChars="0" w:firstLine="420" w:firstLineChars="200"/>
        <w:textAlignment w:val="auto"/>
        <w:rPr>
          <w:rFonts w:hint="eastAsia" w:ascii="宋体" w:hAnsi="宋体" w:eastAsia="宋体" w:cs="宋体"/>
          <w:b w:val="0"/>
          <w:color w:val="auto"/>
          <w:sz w:val="21"/>
          <w:szCs w:val="21"/>
          <w:highlight w:val="none"/>
        </w:rPr>
      </w:pPr>
      <w:r>
        <w:rPr>
          <w:rFonts w:hint="eastAsia" w:ascii="宋体" w:hAnsi="宋体" w:eastAsia="宋体" w:cs="宋体"/>
          <w:color w:val="auto"/>
          <w:sz w:val="21"/>
          <w:szCs w:val="21"/>
          <w:highlight w:val="none"/>
        </w:rPr>
        <w:t>逾期递交的或者未递交至指定地点的投标文件，招标人不予受理。</w:t>
      </w:r>
    </w:p>
    <w:p w14:paraId="44DAEAFE">
      <w:pPr>
        <w:pStyle w:val="11"/>
        <w:keepNext w:val="0"/>
        <w:keepLines w:val="0"/>
        <w:pageBreakBefore w:val="0"/>
        <w:widowControl w:val="0"/>
        <w:numPr>
          <w:ilvl w:val="0"/>
          <w:numId w:val="30"/>
        </w:numPr>
        <w:tabs>
          <w:tab w:val="left" w:pos="1080"/>
          <w:tab w:val="clear" w:pos="210"/>
        </w:tabs>
        <w:kinsoku/>
        <w:wordWrap/>
        <w:overflowPunct/>
        <w:topLinePunct w:val="0"/>
        <w:autoSpaceDE/>
        <w:autoSpaceDN/>
        <w:bidi w:val="0"/>
        <w:adjustRightInd w:val="0"/>
        <w:snapToGrid w:val="0"/>
        <w:spacing w:after="0" w:line="460" w:lineRule="atLeast"/>
        <w:ind w:left="0" w:leftChars="0" w:firstLine="422" w:firstLineChars="200"/>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有下列情形之一的投标文件拒收并退回：</w:t>
      </w:r>
    </w:p>
    <w:p w14:paraId="37B1F4CD">
      <w:pPr>
        <w:pStyle w:val="11"/>
        <w:keepNext w:val="0"/>
        <w:keepLines w:val="0"/>
        <w:pageBreakBefore w:val="0"/>
        <w:widowControl w:val="0"/>
        <w:numPr>
          <w:ilvl w:val="0"/>
          <w:numId w:val="31"/>
        </w:numPr>
        <w:tabs>
          <w:tab w:val="left" w:pos="840"/>
        </w:tabs>
        <w:kinsoku/>
        <w:wordWrap/>
        <w:overflowPunct/>
        <w:topLinePunct w:val="0"/>
        <w:autoSpaceDE/>
        <w:autoSpaceDN/>
        <w:bidi w:val="0"/>
        <w:adjustRightInd w:val="0"/>
        <w:snapToGrid w:val="0"/>
        <w:spacing w:after="0" w:line="460" w:lineRule="atLeast"/>
        <w:ind w:left="0" w:leftChars="0" w:firstLine="422" w:firstLineChars="200"/>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投标文件逾期送达的或者未送达指定地点的；</w:t>
      </w:r>
    </w:p>
    <w:p w14:paraId="481225FB">
      <w:pPr>
        <w:pStyle w:val="11"/>
        <w:keepNext w:val="0"/>
        <w:keepLines w:val="0"/>
        <w:pageBreakBefore w:val="0"/>
        <w:widowControl w:val="0"/>
        <w:numPr>
          <w:ilvl w:val="0"/>
          <w:numId w:val="31"/>
        </w:numPr>
        <w:tabs>
          <w:tab w:val="left" w:pos="840"/>
        </w:tabs>
        <w:kinsoku/>
        <w:wordWrap/>
        <w:overflowPunct/>
        <w:topLinePunct w:val="0"/>
        <w:autoSpaceDE/>
        <w:autoSpaceDN/>
        <w:bidi w:val="0"/>
        <w:adjustRightInd w:val="0"/>
        <w:snapToGrid w:val="0"/>
        <w:spacing w:after="0" w:line="460" w:lineRule="atLeast"/>
        <w:ind w:left="0" w:leftChars="0" w:firstLine="422" w:firstLineChars="200"/>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投标文件未按招标文件规定要求封装或标志的；</w:t>
      </w:r>
    </w:p>
    <w:p w14:paraId="20AB570F">
      <w:pPr>
        <w:pStyle w:val="11"/>
        <w:keepNext w:val="0"/>
        <w:keepLines w:val="0"/>
        <w:pageBreakBefore w:val="0"/>
        <w:widowControl w:val="0"/>
        <w:numPr>
          <w:ilvl w:val="0"/>
          <w:numId w:val="31"/>
        </w:numPr>
        <w:tabs>
          <w:tab w:val="left" w:pos="840"/>
        </w:tabs>
        <w:kinsoku/>
        <w:wordWrap/>
        <w:overflowPunct/>
        <w:topLinePunct w:val="0"/>
        <w:autoSpaceDE/>
        <w:autoSpaceDN/>
        <w:bidi w:val="0"/>
        <w:adjustRightInd w:val="0"/>
        <w:snapToGrid w:val="0"/>
        <w:spacing w:after="0" w:line="460" w:lineRule="atLeast"/>
        <w:ind w:left="0" w:leftChars="0" w:firstLine="422" w:firstLineChars="200"/>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投标文件递交时不能出示委托代理人（或法定代表人）有效的二代身份证（不含临时身份证）的；</w:t>
      </w:r>
    </w:p>
    <w:p w14:paraId="14B9AE7C">
      <w:pPr>
        <w:pStyle w:val="11"/>
        <w:keepNext w:val="0"/>
        <w:keepLines w:val="0"/>
        <w:pageBreakBefore w:val="0"/>
        <w:widowControl w:val="0"/>
        <w:numPr>
          <w:ilvl w:val="0"/>
          <w:numId w:val="31"/>
        </w:numPr>
        <w:tabs>
          <w:tab w:val="left" w:pos="840"/>
        </w:tabs>
        <w:kinsoku/>
        <w:wordWrap/>
        <w:overflowPunct/>
        <w:topLinePunct w:val="0"/>
        <w:autoSpaceDE/>
        <w:autoSpaceDN/>
        <w:bidi w:val="0"/>
        <w:adjustRightInd w:val="0"/>
        <w:snapToGrid w:val="0"/>
        <w:spacing w:after="0" w:line="460" w:lineRule="atLeast"/>
        <w:ind w:left="0" w:leftChars="0" w:firstLine="422" w:firstLineChars="200"/>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未按要求递交投标保证金的。</w:t>
      </w:r>
    </w:p>
    <w:p w14:paraId="4C99BEA3">
      <w:pPr>
        <w:pStyle w:val="11"/>
        <w:keepNext w:val="0"/>
        <w:keepLines w:val="0"/>
        <w:pageBreakBefore w:val="0"/>
        <w:widowControl w:val="0"/>
        <w:numPr>
          <w:ilvl w:val="0"/>
          <w:numId w:val="31"/>
        </w:numPr>
        <w:tabs>
          <w:tab w:val="left" w:pos="840"/>
        </w:tabs>
        <w:kinsoku/>
        <w:wordWrap/>
        <w:overflowPunct/>
        <w:topLinePunct w:val="0"/>
        <w:autoSpaceDE/>
        <w:autoSpaceDN/>
        <w:bidi w:val="0"/>
        <w:adjustRightInd w:val="0"/>
        <w:snapToGrid w:val="0"/>
        <w:spacing w:after="0" w:line="460" w:lineRule="atLeast"/>
        <w:ind w:left="0" w:leftChars="0" w:firstLine="422" w:firstLineChars="200"/>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本招标文件约定的其他情形。</w:t>
      </w:r>
    </w:p>
    <w:p w14:paraId="7B3CC66F">
      <w:pPr>
        <w:pStyle w:val="3"/>
        <w:keepNext w:val="0"/>
        <w:keepLines w:val="0"/>
        <w:pageBreakBefore w:val="0"/>
        <w:widowControl w:val="0"/>
        <w:numPr>
          <w:ilvl w:val="0"/>
          <w:numId w:val="28"/>
        </w:numPr>
        <w:tabs>
          <w:tab w:val="left" w:pos="861"/>
          <w:tab w:val="clear" w:pos="210"/>
        </w:tabs>
        <w:kinsoku/>
        <w:wordWrap/>
        <w:overflowPunct/>
        <w:topLinePunct w:val="0"/>
        <w:autoSpaceDE/>
        <w:autoSpaceDN/>
        <w:bidi w:val="0"/>
        <w:adjustRightInd w:val="0"/>
        <w:snapToGrid w:val="0"/>
        <w:spacing w:after="0" w:line="460" w:lineRule="atLeast"/>
        <w:ind w:left="0" w:leftChars="0" w:firstLine="420" w:firstLineChars="200"/>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投标文件的修改与撤回</w:t>
      </w:r>
    </w:p>
    <w:p w14:paraId="5C05BF7D">
      <w:pPr>
        <w:pStyle w:val="11"/>
        <w:keepNext w:val="0"/>
        <w:keepLines w:val="0"/>
        <w:pageBreakBefore w:val="0"/>
        <w:widowControl w:val="0"/>
        <w:numPr>
          <w:ilvl w:val="0"/>
          <w:numId w:val="32"/>
        </w:numPr>
        <w:tabs>
          <w:tab w:val="left" w:pos="1080"/>
          <w:tab w:val="clear" w:pos="210"/>
        </w:tabs>
        <w:kinsoku/>
        <w:wordWrap/>
        <w:overflowPunct/>
        <w:topLinePunct w:val="0"/>
        <w:autoSpaceDE/>
        <w:autoSpaceDN/>
        <w:bidi w:val="0"/>
        <w:adjustRightInd w:val="0"/>
        <w:snapToGrid w:val="0"/>
        <w:spacing w:after="0" w:line="460" w:lineRule="atLeast"/>
        <w:ind w:left="0" w:leftChars="0" w:firstLine="420" w:firstLineChars="200"/>
        <w:textAlignment w:val="auto"/>
        <w:rPr>
          <w:rFonts w:hint="eastAsia" w:ascii="宋体" w:hAnsi="宋体" w:eastAsia="宋体" w:cs="宋体"/>
          <w:b w:val="0"/>
          <w:color w:val="auto"/>
          <w:sz w:val="21"/>
          <w:szCs w:val="21"/>
          <w:highlight w:val="none"/>
        </w:rPr>
      </w:pPr>
      <w:r>
        <w:rPr>
          <w:rFonts w:hint="eastAsia" w:ascii="宋体" w:hAnsi="宋体" w:eastAsia="宋体" w:cs="宋体"/>
          <w:color w:val="auto"/>
          <w:sz w:val="21"/>
          <w:szCs w:val="21"/>
          <w:highlight w:val="none"/>
        </w:rPr>
        <w:t>在规定的投标截止时间前，投标人可对所递交的投标文件进行修改或撤回。投标人须按照招标文件的规定重新编制投标文件并且重新加密递交。</w:t>
      </w:r>
    </w:p>
    <w:p w14:paraId="3BAF413B">
      <w:pPr>
        <w:pStyle w:val="11"/>
        <w:keepNext w:val="0"/>
        <w:keepLines w:val="0"/>
        <w:pageBreakBefore w:val="0"/>
        <w:widowControl w:val="0"/>
        <w:numPr>
          <w:ilvl w:val="0"/>
          <w:numId w:val="32"/>
        </w:numPr>
        <w:tabs>
          <w:tab w:val="left" w:pos="1080"/>
          <w:tab w:val="clear" w:pos="210"/>
        </w:tabs>
        <w:kinsoku/>
        <w:wordWrap/>
        <w:overflowPunct/>
        <w:topLinePunct w:val="0"/>
        <w:autoSpaceDE/>
        <w:autoSpaceDN/>
        <w:bidi w:val="0"/>
        <w:adjustRightInd w:val="0"/>
        <w:snapToGrid w:val="0"/>
        <w:spacing w:after="0" w:line="460" w:lineRule="atLeast"/>
        <w:ind w:left="0" w:leftChars="0" w:firstLine="420" w:firstLineChars="200"/>
        <w:textAlignment w:val="auto"/>
        <w:rPr>
          <w:rFonts w:hint="eastAsia" w:ascii="宋体" w:hAnsi="宋体" w:eastAsia="宋体" w:cs="宋体"/>
          <w:b w:val="0"/>
          <w:color w:val="auto"/>
          <w:sz w:val="21"/>
          <w:szCs w:val="21"/>
          <w:highlight w:val="none"/>
        </w:rPr>
      </w:pPr>
      <w:r>
        <w:rPr>
          <w:rFonts w:hint="eastAsia" w:ascii="宋体" w:hAnsi="宋体" w:eastAsia="宋体" w:cs="宋体"/>
          <w:color w:val="auto"/>
          <w:sz w:val="21"/>
          <w:szCs w:val="21"/>
          <w:highlight w:val="none"/>
        </w:rPr>
        <w:t>投标截止时间之后，投标人不得修改或撤回投标文件，否则其投标保证金将不予退还。</w:t>
      </w:r>
    </w:p>
    <w:p w14:paraId="3ACDACB8">
      <w:pPr>
        <w:pStyle w:val="2"/>
        <w:keepNext w:val="0"/>
        <w:keepLines w:val="0"/>
        <w:pageBreakBefore w:val="0"/>
        <w:widowControl w:val="0"/>
        <w:numPr>
          <w:ilvl w:val="0"/>
          <w:numId w:val="4"/>
        </w:numPr>
        <w:tabs>
          <w:tab w:val="left" w:pos="962"/>
          <w:tab w:val="clear" w:pos="210"/>
        </w:tabs>
        <w:kinsoku/>
        <w:wordWrap/>
        <w:overflowPunct/>
        <w:topLinePunct w:val="0"/>
        <w:autoSpaceDE/>
        <w:autoSpaceDN/>
        <w:bidi w:val="0"/>
        <w:adjustRightInd w:val="0"/>
        <w:snapToGrid w:val="0"/>
        <w:spacing w:before="0" w:beforeLines="0" w:after="0" w:line="460" w:lineRule="atLeast"/>
        <w:ind w:left="0" w:leftChars="0" w:firstLine="422" w:firstLineChars="200"/>
        <w:textAlignment w:val="auto"/>
        <w:rPr>
          <w:rFonts w:hint="eastAsia" w:ascii="宋体" w:hAnsi="宋体" w:eastAsia="宋体" w:cs="宋体"/>
          <w:b/>
          <w:color w:val="auto"/>
          <w:sz w:val="21"/>
          <w:szCs w:val="21"/>
          <w:highlight w:val="none"/>
        </w:rPr>
      </w:pPr>
      <w:bookmarkStart w:id="26" w:name="heading_19"/>
      <w:r>
        <w:rPr>
          <w:rFonts w:hint="eastAsia" w:ascii="宋体" w:hAnsi="宋体" w:eastAsia="宋体" w:cs="宋体"/>
          <w:color w:val="auto"/>
          <w:sz w:val="21"/>
          <w:szCs w:val="21"/>
          <w:highlight w:val="none"/>
        </w:rPr>
        <w:t>开标</w:t>
      </w:r>
      <w:bookmarkEnd w:id="26"/>
    </w:p>
    <w:p w14:paraId="4DC49085">
      <w:pPr>
        <w:pStyle w:val="3"/>
        <w:keepNext w:val="0"/>
        <w:keepLines w:val="0"/>
        <w:pageBreakBefore w:val="0"/>
        <w:widowControl w:val="0"/>
        <w:numPr>
          <w:ilvl w:val="0"/>
          <w:numId w:val="33"/>
        </w:numPr>
        <w:tabs>
          <w:tab w:val="left" w:pos="861"/>
          <w:tab w:val="clear" w:pos="210"/>
        </w:tabs>
        <w:kinsoku/>
        <w:wordWrap/>
        <w:overflowPunct/>
        <w:topLinePunct w:val="0"/>
        <w:autoSpaceDE/>
        <w:autoSpaceDN/>
        <w:bidi w:val="0"/>
        <w:adjustRightInd w:val="0"/>
        <w:snapToGrid w:val="0"/>
        <w:spacing w:after="0" w:line="460" w:lineRule="atLeast"/>
        <w:ind w:left="0" w:leftChars="0" w:firstLine="422" w:firstLineChars="200"/>
        <w:textAlignment w:val="auto"/>
        <w:rPr>
          <w:rFonts w:hint="eastAsia" w:ascii="宋体" w:hAnsi="宋体" w:eastAsia="宋体" w:cs="宋体"/>
          <w:b/>
          <w:color w:val="auto"/>
          <w:sz w:val="21"/>
          <w:szCs w:val="21"/>
          <w:highlight w:val="none"/>
        </w:rPr>
      </w:pPr>
      <w:r>
        <w:rPr>
          <w:rFonts w:hint="eastAsia" w:ascii="宋体" w:hAnsi="宋体" w:eastAsia="宋体" w:cs="宋体"/>
          <w:color w:val="auto"/>
          <w:sz w:val="21"/>
          <w:szCs w:val="21"/>
          <w:highlight w:val="none"/>
        </w:rPr>
        <w:t>开标时间、地点</w:t>
      </w:r>
    </w:p>
    <w:p w14:paraId="4A0BD8F4">
      <w:pPr>
        <w:pStyle w:val="11"/>
        <w:keepNext w:val="0"/>
        <w:keepLines w:val="0"/>
        <w:pageBreakBefore w:val="0"/>
        <w:widowControl w:val="0"/>
        <w:kinsoku/>
        <w:wordWrap/>
        <w:overflowPunct/>
        <w:topLinePunct w:val="0"/>
        <w:autoSpaceDE/>
        <w:autoSpaceDN/>
        <w:bidi w:val="0"/>
        <w:adjustRightInd w:val="0"/>
        <w:snapToGrid w:val="0"/>
        <w:spacing w:after="0" w:line="460" w:lineRule="atLeast"/>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招标人在投标人须知前附表规定的时间和地点公开开标，前附表要求参加开标会的人员必须准时参加。</w:t>
      </w:r>
    </w:p>
    <w:p w14:paraId="7A3B7E1D">
      <w:pPr>
        <w:pStyle w:val="3"/>
        <w:keepNext w:val="0"/>
        <w:keepLines w:val="0"/>
        <w:pageBreakBefore w:val="0"/>
        <w:widowControl w:val="0"/>
        <w:numPr>
          <w:ilvl w:val="0"/>
          <w:numId w:val="33"/>
        </w:numPr>
        <w:tabs>
          <w:tab w:val="left" w:pos="861"/>
          <w:tab w:val="clear" w:pos="210"/>
        </w:tabs>
        <w:kinsoku/>
        <w:wordWrap/>
        <w:overflowPunct/>
        <w:topLinePunct w:val="0"/>
        <w:autoSpaceDE/>
        <w:autoSpaceDN/>
        <w:bidi w:val="0"/>
        <w:adjustRightInd w:val="0"/>
        <w:snapToGrid w:val="0"/>
        <w:spacing w:after="0" w:line="460" w:lineRule="atLeast"/>
        <w:ind w:left="0" w:leftChars="0" w:firstLine="422" w:firstLineChars="200"/>
        <w:textAlignment w:val="auto"/>
        <w:rPr>
          <w:rFonts w:hint="eastAsia" w:ascii="宋体" w:hAnsi="宋体" w:eastAsia="宋体" w:cs="宋体"/>
          <w:b/>
          <w:color w:val="auto"/>
          <w:sz w:val="21"/>
          <w:szCs w:val="21"/>
          <w:highlight w:val="none"/>
        </w:rPr>
      </w:pPr>
      <w:r>
        <w:rPr>
          <w:rFonts w:hint="eastAsia" w:ascii="宋体" w:hAnsi="宋体" w:eastAsia="宋体" w:cs="宋体"/>
          <w:color w:val="auto"/>
          <w:sz w:val="21"/>
          <w:szCs w:val="21"/>
          <w:highlight w:val="none"/>
        </w:rPr>
        <w:t>开标程序</w:t>
      </w:r>
    </w:p>
    <w:p w14:paraId="715F1FEF">
      <w:pPr>
        <w:pStyle w:val="4"/>
        <w:keepNext w:val="0"/>
        <w:keepLines w:val="0"/>
        <w:pageBreakBefore w:val="0"/>
        <w:widowControl w:val="0"/>
        <w:kinsoku/>
        <w:wordWrap/>
        <w:overflowPunct/>
        <w:topLinePunct w:val="0"/>
        <w:autoSpaceDE/>
        <w:autoSpaceDN/>
        <w:bidi w:val="0"/>
        <w:adjustRightInd w:val="0"/>
        <w:snapToGrid w:val="0"/>
        <w:spacing w:after="0" w:line="460" w:lineRule="atLeast"/>
        <w:ind w:left="0" w:leftChars="0" w:firstLine="630" w:firstLineChars="300"/>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5.2.1 招标人按下列程序进行开标：</w:t>
      </w:r>
    </w:p>
    <w:p w14:paraId="69A7A45F">
      <w:pPr>
        <w:pStyle w:val="11"/>
        <w:keepNext w:val="0"/>
        <w:keepLines w:val="0"/>
        <w:pageBreakBefore w:val="0"/>
        <w:widowControl w:val="0"/>
        <w:numPr>
          <w:ilvl w:val="0"/>
          <w:numId w:val="34"/>
        </w:numPr>
        <w:tabs>
          <w:tab w:val="left" w:pos="1080"/>
        </w:tabs>
        <w:kinsoku/>
        <w:wordWrap/>
        <w:overflowPunct/>
        <w:topLinePunct w:val="0"/>
        <w:autoSpaceDE/>
        <w:autoSpaceDN/>
        <w:bidi w:val="0"/>
        <w:adjustRightInd w:val="0"/>
        <w:snapToGrid w:val="0"/>
        <w:spacing w:after="0" w:line="460" w:lineRule="atLeast"/>
        <w:ind w:left="0" w:leftChars="0" w:firstLine="420" w:firstLineChars="200"/>
        <w:textAlignment w:val="auto"/>
        <w:rPr>
          <w:rFonts w:hint="eastAsia" w:ascii="宋体" w:hAnsi="宋体" w:eastAsia="宋体" w:cs="宋体"/>
          <w:b w:val="0"/>
          <w:color w:val="auto"/>
          <w:sz w:val="21"/>
          <w:szCs w:val="21"/>
          <w:highlight w:val="none"/>
        </w:rPr>
      </w:pPr>
      <w:r>
        <w:rPr>
          <w:rFonts w:hint="eastAsia" w:ascii="宋体" w:hAnsi="宋体" w:eastAsia="宋体" w:cs="宋体"/>
          <w:color w:val="auto"/>
          <w:sz w:val="21"/>
          <w:szCs w:val="21"/>
          <w:highlight w:val="none"/>
        </w:rPr>
        <w:t>宣布开标纪律；</w:t>
      </w:r>
    </w:p>
    <w:p w14:paraId="0735D5E7">
      <w:pPr>
        <w:pStyle w:val="11"/>
        <w:keepNext w:val="0"/>
        <w:keepLines w:val="0"/>
        <w:pageBreakBefore w:val="0"/>
        <w:widowControl w:val="0"/>
        <w:numPr>
          <w:ilvl w:val="0"/>
          <w:numId w:val="34"/>
        </w:numPr>
        <w:tabs>
          <w:tab w:val="left" w:pos="1080"/>
        </w:tabs>
        <w:kinsoku/>
        <w:wordWrap/>
        <w:overflowPunct/>
        <w:topLinePunct w:val="0"/>
        <w:autoSpaceDE/>
        <w:autoSpaceDN/>
        <w:bidi w:val="0"/>
        <w:adjustRightInd w:val="0"/>
        <w:snapToGrid w:val="0"/>
        <w:spacing w:after="0" w:line="460" w:lineRule="atLeast"/>
        <w:ind w:left="0" w:leftChars="0" w:firstLine="420" w:firstLineChars="200"/>
        <w:textAlignment w:val="auto"/>
        <w:rPr>
          <w:rFonts w:hint="eastAsia" w:ascii="宋体" w:hAnsi="宋体" w:eastAsia="宋体" w:cs="宋体"/>
          <w:b w:val="0"/>
          <w:color w:val="auto"/>
          <w:sz w:val="21"/>
          <w:szCs w:val="21"/>
          <w:highlight w:val="none"/>
        </w:rPr>
      </w:pPr>
      <w:r>
        <w:rPr>
          <w:rFonts w:hint="eastAsia" w:ascii="宋体" w:hAnsi="宋体" w:eastAsia="宋体" w:cs="宋体"/>
          <w:color w:val="auto"/>
          <w:sz w:val="21"/>
          <w:szCs w:val="21"/>
          <w:highlight w:val="none"/>
        </w:rPr>
        <w:t>宣布相关参会人员；</w:t>
      </w:r>
    </w:p>
    <w:p w14:paraId="2B44BFF0">
      <w:pPr>
        <w:pStyle w:val="11"/>
        <w:keepNext w:val="0"/>
        <w:keepLines w:val="0"/>
        <w:pageBreakBefore w:val="0"/>
        <w:widowControl w:val="0"/>
        <w:numPr>
          <w:ilvl w:val="0"/>
          <w:numId w:val="34"/>
        </w:numPr>
        <w:tabs>
          <w:tab w:val="left" w:pos="1080"/>
        </w:tabs>
        <w:kinsoku/>
        <w:wordWrap/>
        <w:overflowPunct/>
        <w:topLinePunct w:val="0"/>
        <w:autoSpaceDE/>
        <w:autoSpaceDN/>
        <w:bidi w:val="0"/>
        <w:adjustRightInd w:val="0"/>
        <w:snapToGrid w:val="0"/>
        <w:spacing w:after="0" w:line="460" w:lineRule="atLeast"/>
        <w:ind w:left="0" w:leftChars="0" w:firstLine="420" w:firstLineChars="200"/>
        <w:textAlignment w:val="auto"/>
        <w:rPr>
          <w:rFonts w:hint="eastAsia" w:ascii="宋体" w:hAnsi="宋体" w:eastAsia="宋体" w:cs="宋体"/>
          <w:b w:val="0"/>
          <w:color w:val="auto"/>
          <w:sz w:val="21"/>
          <w:szCs w:val="21"/>
          <w:highlight w:val="none"/>
        </w:rPr>
      </w:pPr>
      <w:r>
        <w:rPr>
          <w:rFonts w:hint="eastAsia" w:ascii="宋体" w:hAnsi="宋体" w:eastAsia="宋体" w:cs="宋体"/>
          <w:color w:val="auto"/>
          <w:sz w:val="21"/>
          <w:szCs w:val="21"/>
          <w:highlight w:val="none"/>
        </w:rPr>
        <w:t>公布投标人数量并检查投标文件的密封情况；</w:t>
      </w:r>
    </w:p>
    <w:p w14:paraId="02DF533A">
      <w:pPr>
        <w:pStyle w:val="11"/>
        <w:keepNext w:val="0"/>
        <w:keepLines w:val="0"/>
        <w:pageBreakBefore w:val="0"/>
        <w:widowControl w:val="0"/>
        <w:numPr>
          <w:ilvl w:val="0"/>
          <w:numId w:val="34"/>
        </w:numPr>
        <w:tabs>
          <w:tab w:val="left" w:pos="1080"/>
        </w:tabs>
        <w:kinsoku/>
        <w:wordWrap/>
        <w:overflowPunct/>
        <w:topLinePunct w:val="0"/>
        <w:autoSpaceDE/>
        <w:autoSpaceDN/>
        <w:bidi w:val="0"/>
        <w:adjustRightInd w:val="0"/>
        <w:snapToGrid w:val="0"/>
        <w:spacing w:after="0" w:line="460" w:lineRule="atLeast"/>
        <w:ind w:left="0" w:leftChars="0" w:firstLine="420" w:firstLineChars="200"/>
        <w:textAlignment w:val="auto"/>
        <w:rPr>
          <w:rFonts w:hint="eastAsia" w:ascii="宋体" w:hAnsi="宋体" w:eastAsia="宋体" w:cs="宋体"/>
          <w:b w:val="0"/>
          <w:color w:val="auto"/>
          <w:sz w:val="21"/>
          <w:szCs w:val="21"/>
          <w:highlight w:val="none"/>
        </w:rPr>
      </w:pPr>
      <w:r>
        <w:rPr>
          <w:rFonts w:hint="eastAsia" w:ascii="宋体" w:hAnsi="宋体" w:eastAsia="宋体" w:cs="宋体"/>
          <w:color w:val="auto"/>
          <w:sz w:val="21"/>
          <w:szCs w:val="21"/>
          <w:highlight w:val="none"/>
        </w:rPr>
        <w:t>招标人代表随机抽取本招标文件约定须在开标现场随机抽取的系数（无论几个标段，只抽取一次，多标段共享。）；</w:t>
      </w:r>
    </w:p>
    <w:p w14:paraId="2FA0D59C">
      <w:pPr>
        <w:pStyle w:val="11"/>
        <w:keepNext w:val="0"/>
        <w:keepLines w:val="0"/>
        <w:pageBreakBefore w:val="0"/>
        <w:widowControl w:val="0"/>
        <w:numPr>
          <w:ilvl w:val="0"/>
          <w:numId w:val="34"/>
        </w:numPr>
        <w:tabs>
          <w:tab w:val="left" w:pos="1080"/>
        </w:tabs>
        <w:kinsoku/>
        <w:wordWrap/>
        <w:overflowPunct/>
        <w:topLinePunct w:val="0"/>
        <w:autoSpaceDE/>
        <w:autoSpaceDN/>
        <w:bidi w:val="0"/>
        <w:adjustRightInd w:val="0"/>
        <w:snapToGrid w:val="0"/>
        <w:spacing w:after="0" w:line="460" w:lineRule="atLeast"/>
        <w:ind w:left="0" w:leftChars="0" w:firstLine="420" w:firstLineChars="200"/>
        <w:textAlignment w:val="auto"/>
        <w:rPr>
          <w:rFonts w:hint="eastAsia" w:ascii="宋体" w:hAnsi="宋体" w:eastAsia="宋体" w:cs="宋体"/>
          <w:b w:val="0"/>
          <w:color w:val="auto"/>
          <w:sz w:val="21"/>
          <w:szCs w:val="21"/>
          <w:highlight w:val="none"/>
        </w:rPr>
      </w:pPr>
      <w:r>
        <w:rPr>
          <w:rFonts w:hint="eastAsia" w:ascii="宋体" w:hAnsi="宋体" w:eastAsia="宋体" w:cs="宋体"/>
          <w:color w:val="auto"/>
          <w:sz w:val="21"/>
          <w:szCs w:val="21"/>
          <w:highlight w:val="none"/>
        </w:rPr>
        <w:t>当众开标、唱标，宣读投标人名称、标段名称、投标保证金的递交情况、投标报价（固定总价）、质量标准（目标）、工期、项目负责人及其他内容；招标人同时逐一核验前附表要求参加开标会的投标人人员身份；</w:t>
      </w:r>
    </w:p>
    <w:p w14:paraId="604B37DE">
      <w:pPr>
        <w:pStyle w:val="11"/>
        <w:keepNext w:val="0"/>
        <w:keepLines w:val="0"/>
        <w:pageBreakBefore w:val="0"/>
        <w:widowControl w:val="0"/>
        <w:numPr>
          <w:ilvl w:val="0"/>
          <w:numId w:val="34"/>
        </w:numPr>
        <w:tabs>
          <w:tab w:val="left" w:pos="1080"/>
        </w:tabs>
        <w:kinsoku/>
        <w:wordWrap/>
        <w:overflowPunct/>
        <w:topLinePunct w:val="0"/>
        <w:autoSpaceDE/>
        <w:autoSpaceDN/>
        <w:bidi w:val="0"/>
        <w:adjustRightInd w:val="0"/>
        <w:snapToGrid w:val="0"/>
        <w:spacing w:after="0" w:line="460" w:lineRule="atLeast"/>
        <w:ind w:left="0" w:leftChars="0" w:firstLine="420" w:firstLineChars="200"/>
        <w:textAlignment w:val="auto"/>
        <w:rPr>
          <w:rFonts w:hint="eastAsia" w:ascii="宋体" w:hAnsi="宋体" w:eastAsia="宋体" w:cs="宋体"/>
          <w:b w:val="0"/>
          <w:color w:val="auto"/>
          <w:sz w:val="21"/>
          <w:szCs w:val="21"/>
          <w:highlight w:val="none"/>
        </w:rPr>
      </w:pPr>
      <w:r>
        <w:rPr>
          <w:rFonts w:hint="eastAsia" w:ascii="宋体" w:hAnsi="宋体" w:eastAsia="宋体" w:cs="宋体"/>
          <w:color w:val="auto"/>
          <w:sz w:val="21"/>
          <w:szCs w:val="21"/>
          <w:highlight w:val="none"/>
        </w:rPr>
        <w:t>出席开标会议的相关人员在开标记录上签字确认，</w:t>
      </w:r>
      <w:r>
        <w:rPr>
          <w:rFonts w:hint="eastAsia" w:ascii="宋体" w:hAnsi="宋体" w:eastAsia="宋体" w:cs="宋体"/>
          <w:color w:val="auto"/>
          <w:sz w:val="21"/>
          <w:szCs w:val="21"/>
          <w:highlight w:val="none"/>
          <w:u w:val="single"/>
        </w:rPr>
        <w:t>未签字的视为认同</w:t>
      </w:r>
      <w:r>
        <w:rPr>
          <w:rFonts w:hint="eastAsia" w:ascii="宋体" w:hAnsi="宋体" w:eastAsia="宋体" w:cs="宋体"/>
          <w:color w:val="auto"/>
          <w:sz w:val="21"/>
          <w:szCs w:val="21"/>
          <w:highlight w:val="none"/>
        </w:rPr>
        <w:t>；</w:t>
      </w:r>
    </w:p>
    <w:p w14:paraId="7F5EF843">
      <w:pPr>
        <w:pStyle w:val="11"/>
        <w:keepNext w:val="0"/>
        <w:keepLines w:val="0"/>
        <w:pageBreakBefore w:val="0"/>
        <w:widowControl w:val="0"/>
        <w:numPr>
          <w:ilvl w:val="0"/>
          <w:numId w:val="34"/>
        </w:numPr>
        <w:tabs>
          <w:tab w:val="left" w:pos="1080"/>
        </w:tabs>
        <w:kinsoku/>
        <w:wordWrap/>
        <w:overflowPunct/>
        <w:topLinePunct w:val="0"/>
        <w:autoSpaceDE/>
        <w:autoSpaceDN/>
        <w:bidi w:val="0"/>
        <w:adjustRightInd w:val="0"/>
        <w:snapToGrid w:val="0"/>
        <w:spacing w:after="0" w:line="460" w:lineRule="atLeast"/>
        <w:ind w:left="0" w:leftChars="0" w:firstLine="420" w:firstLineChars="200"/>
        <w:textAlignment w:val="auto"/>
        <w:rPr>
          <w:rFonts w:hint="eastAsia" w:ascii="宋体" w:hAnsi="宋体" w:eastAsia="宋体" w:cs="宋体"/>
          <w:b w:val="0"/>
          <w:color w:val="auto"/>
          <w:sz w:val="21"/>
          <w:szCs w:val="21"/>
          <w:highlight w:val="none"/>
        </w:rPr>
      </w:pPr>
      <w:r>
        <w:rPr>
          <w:rFonts w:hint="eastAsia" w:ascii="宋体" w:hAnsi="宋体" w:eastAsia="宋体" w:cs="宋体"/>
          <w:color w:val="auto"/>
          <w:sz w:val="21"/>
          <w:szCs w:val="21"/>
          <w:highlight w:val="none"/>
        </w:rPr>
        <w:t>开标结束。</w:t>
      </w:r>
    </w:p>
    <w:p w14:paraId="2B2EBCCB">
      <w:pPr>
        <w:pStyle w:val="3"/>
        <w:keepNext w:val="0"/>
        <w:keepLines w:val="0"/>
        <w:pageBreakBefore w:val="0"/>
        <w:widowControl w:val="0"/>
        <w:numPr>
          <w:ilvl w:val="0"/>
          <w:numId w:val="33"/>
        </w:numPr>
        <w:tabs>
          <w:tab w:val="left" w:pos="861"/>
          <w:tab w:val="clear" w:pos="210"/>
        </w:tabs>
        <w:kinsoku/>
        <w:wordWrap/>
        <w:overflowPunct/>
        <w:topLinePunct w:val="0"/>
        <w:autoSpaceDE/>
        <w:autoSpaceDN/>
        <w:bidi w:val="0"/>
        <w:adjustRightInd w:val="0"/>
        <w:snapToGrid w:val="0"/>
        <w:spacing w:after="0" w:line="460" w:lineRule="atLeast"/>
        <w:ind w:left="0" w:leftChars="0" w:firstLine="422" w:firstLineChars="200"/>
        <w:textAlignment w:val="auto"/>
        <w:rPr>
          <w:rFonts w:hint="eastAsia" w:ascii="宋体" w:hAnsi="宋体" w:eastAsia="宋体" w:cs="宋体"/>
          <w:b/>
          <w:color w:val="auto"/>
          <w:sz w:val="21"/>
          <w:szCs w:val="21"/>
          <w:highlight w:val="none"/>
        </w:rPr>
      </w:pPr>
      <w:r>
        <w:rPr>
          <w:rFonts w:hint="eastAsia" w:ascii="宋体" w:hAnsi="宋体" w:eastAsia="宋体" w:cs="宋体"/>
          <w:color w:val="auto"/>
          <w:sz w:val="21"/>
          <w:szCs w:val="21"/>
          <w:highlight w:val="none"/>
        </w:rPr>
        <w:t>开标异议</w:t>
      </w:r>
    </w:p>
    <w:p w14:paraId="5036D33D">
      <w:pPr>
        <w:pStyle w:val="11"/>
        <w:keepNext w:val="0"/>
        <w:keepLines w:val="0"/>
        <w:pageBreakBefore w:val="0"/>
        <w:widowControl w:val="0"/>
        <w:kinsoku/>
        <w:wordWrap/>
        <w:overflowPunct/>
        <w:topLinePunct w:val="0"/>
        <w:autoSpaceDE/>
        <w:autoSpaceDN/>
        <w:bidi w:val="0"/>
        <w:adjustRightInd w:val="0"/>
        <w:snapToGrid w:val="0"/>
        <w:spacing w:after="0" w:line="460" w:lineRule="atLeast"/>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投标人对开标有异议的，应当在开标时由法定代表人或委托代理人在开标现场提出，招标人当场作出答复，并制作记录。任何单位和个人在开标结束后就开标提出的异议或投诉将不予受理。</w:t>
      </w:r>
    </w:p>
    <w:p w14:paraId="28239FAC">
      <w:pPr>
        <w:pStyle w:val="2"/>
        <w:keepNext w:val="0"/>
        <w:keepLines w:val="0"/>
        <w:pageBreakBefore w:val="0"/>
        <w:widowControl w:val="0"/>
        <w:numPr>
          <w:ilvl w:val="0"/>
          <w:numId w:val="4"/>
        </w:numPr>
        <w:tabs>
          <w:tab w:val="left" w:pos="962"/>
          <w:tab w:val="clear" w:pos="210"/>
        </w:tabs>
        <w:kinsoku/>
        <w:wordWrap/>
        <w:overflowPunct/>
        <w:topLinePunct w:val="0"/>
        <w:autoSpaceDE/>
        <w:autoSpaceDN/>
        <w:bidi w:val="0"/>
        <w:adjustRightInd w:val="0"/>
        <w:snapToGrid w:val="0"/>
        <w:spacing w:before="0" w:beforeLines="0" w:after="0" w:line="460" w:lineRule="atLeast"/>
        <w:ind w:left="0" w:leftChars="0" w:firstLine="422" w:firstLineChars="200"/>
        <w:textAlignment w:val="auto"/>
        <w:rPr>
          <w:rFonts w:hint="eastAsia" w:ascii="宋体" w:hAnsi="宋体" w:eastAsia="宋体" w:cs="宋体"/>
          <w:b/>
          <w:color w:val="auto"/>
          <w:sz w:val="21"/>
          <w:szCs w:val="21"/>
          <w:highlight w:val="none"/>
        </w:rPr>
      </w:pPr>
      <w:bookmarkStart w:id="27" w:name="heading_20"/>
      <w:r>
        <w:rPr>
          <w:rFonts w:hint="eastAsia" w:ascii="宋体" w:hAnsi="宋体" w:eastAsia="宋体" w:cs="宋体"/>
          <w:color w:val="auto"/>
          <w:sz w:val="21"/>
          <w:szCs w:val="21"/>
          <w:highlight w:val="none"/>
        </w:rPr>
        <w:t>评标</w:t>
      </w:r>
      <w:bookmarkEnd w:id="27"/>
    </w:p>
    <w:p w14:paraId="3048EDA4">
      <w:pPr>
        <w:pStyle w:val="3"/>
        <w:keepNext w:val="0"/>
        <w:keepLines w:val="0"/>
        <w:pageBreakBefore w:val="0"/>
        <w:widowControl w:val="0"/>
        <w:numPr>
          <w:ilvl w:val="0"/>
          <w:numId w:val="35"/>
        </w:numPr>
        <w:tabs>
          <w:tab w:val="left" w:pos="861"/>
          <w:tab w:val="clear" w:pos="210"/>
        </w:tabs>
        <w:kinsoku/>
        <w:wordWrap/>
        <w:overflowPunct/>
        <w:topLinePunct w:val="0"/>
        <w:autoSpaceDE/>
        <w:autoSpaceDN/>
        <w:bidi w:val="0"/>
        <w:adjustRightInd w:val="0"/>
        <w:snapToGrid w:val="0"/>
        <w:spacing w:after="0" w:line="460" w:lineRule="atLeast"/>
        <w:ind w:left="0" w:leftChars="0" w:firstLine="422" w:firstLineChars="200"/>
        <w:textAlignment w:val="auto"/>
        <w:rPr>
          <w:rFonts w:hint="eastAsia" w:ascii="宋体" w:hAnsi="宋体" w:eastAsia="宋体" w:cs="宋体"/>
          <w:b/>
          <w:color w:val="auto"/>
          <w:sz w:val="21"/>
          <w:szCs w:val="21"/>
          <w:highlight w:val="none"/>
        </w:rPr>
      </w:pPr>
      <w:r>
        <w:rPr>
          <w:rFonts w:hint="eastAsia" w:ascii="宋体" w:hAnsi="宋体" w:eastAsia="宋体" w:cs="宋体"/>
          <w:color w:val="auto"/>
          <w:sz w:val="21"/>
          <w:szCs w:val="21"/>
          <w:highlight w:val="none"/>
        </w:rPr>
        <w:t>评标委员会</w:t>
      </w:r>
    </w:p>
    <w:p w14:paraId="294F6C22">
      <w:pPr>
        <w:pStyle w:val="11"/>
        <w:keepNext w:val="0"/>
        <w:keepLines w:val="0"/>
        <w:pageBreakBefore w:val="0"/>
        <w:widowControl w:val="0"/>
        <w:numPr>
          <w:ilvl w:val="0"/>
          <w:numId w:val="36"/>
        </w:numPr>
        <w:tabs>
          <w:tab w:val="left" w:pos="1080"/>
          <w:tab w:val="clear" w:pos="210"/>
        </w:tabs>
        <w:kinsoku/>
        <w:wordWrap/>
        <w:overflowPunct/>
        <w:topLinePunct w:val="0"/>
        <w:autoSpaceDE/>
        <w:autoSpaceDN/>
        <w:bidi w:val="0"/>
        <w:adjustRightInd w:val="0"/>
        <w:snapToGrid w:val="0"/>
        <w:spacing w:after="0" w:line="460" w:lineRule="atLeast"/>
        <w:ind w:left="0" w:leftChars="0" w:firstLine="420" w:firstLineChars="200"/>
        <w:textAlignment w:val="auto"/>
        <w:rPr>
          <w:rFonts w:hint="eastAsia" w:ascii="宋体" w:hAnsi="宋体" w:eastAsia="宋体" w:cs="宋体"/>
          <w:b w:val="0"/>
          <w:color w:val="auto"/>
          <w:sz w:val="21"/>
          <w:szCs w:val="21"/>
          <w:highlight w:val="none"/>
        </w:rPr>
      </w:pPr>
      <w:r>
        <w:rPr>
          <w:rFonts w:hint="eastAsia" w:ascii="宋体" w:hAnsi="宋体" w:eastAsia="宋体" w:cs="宋体"/>
          <w:color w:val="auto"/>
          <w:sz w:val="21"/>
          <w:szCs w:val="21"/>
          <w:highlight w:val="none"/>
        </w:rPr>
        <w:t>评标由招标人依法组建的评标委员会负责。评标委员会由招标人代表以及有关技术、经济等方面的专家组成。</w:t>
      </w:r>
    </w:p>
    <w:p w14:paraId="635DB62D">
      <w:pPr>
        <w:pStyle w:val="11"/>
        <w:keepNext w:val="0"/>
        <w:keepLines w:val="0"/>
        <w:pageBreakBefore w:val="0"/>
        <w:widowControl w:val="0"/>
        <w:numPr>
          <w:ilvl w:val="0"/>
          <w:numId w:val="36"/>
        </w:numPr>
        <w:tabs>
          <w:tab w:val="left" w:pos="1080"/>
          <w:tab w:val="clear" w:pos="210"/>
        </w:tabs>
        <w:kinsoku/>
        <w:wordWrap/>
        <w:overflowPunct/>
        <w:topLinePunct w:val="0"/>
        <w:autoSpaceDE/>
        <w:autoSpaceDN/>
        <w:bidi w:val="0"/>
        <w:adjustRightInd w:val="0"/>
        <w:snapToGrid w:val="0"/>
        <w:spacing w:after="0" w:line="460" w:lineRule="atLeast"/>
        <w:ind w:left="0" w:leftChars="0" w:firstLine="420" w:firstLineChars="200"/>
        <w:textAlignment w:val="auto"/>
        <w:rPr>
          <w:rFonts w:hint="eastAsia" w:ascii="宋体" w:hAnsi="宋体" w:eastAsia="宋体" w:cs="宋体"/>
          <w:b w:val="0"/>
          <w:color w:val="auto"/>
          <w:sz w:val="21"/>
          <w:szCs w:val="21"/>
          <w:highlight w:val="none"/>
        </w:rPr>
      </w:pPr>
      <w:r>
        <w:rPr>
          <w:rFonts w:hint="eastAsia" w:ascii="宋体" w:hAnsi="宋体" w:eastAsia="宋体" w:cs="宋体"/>
          <w:color w:val="auto"/>
          <w:sz w:val="21"/>
          <w:szCs w:val="21"/>
          <w:highlight w:val="none"/>
        </w:rPr>
        <w:t>评标委员会成员有下列情形之一的，应当回避：</w:t>
      </w:r>
    </w:p>
    <w:p w14:paraId="49710D3B">
      <w:pPr>
        <w:pStyle w:val="11"/>
        <w:keepNext w:val="0"/>
        <w:keepLines w:val="0"/>
        <w:pageBreakBefore w:val="0"/>
        <w:widowControl w:val="0"/>
        <w:numPr>
          <w:ilvl w:val="0"/>
          <w:numId w:val="37"/>
        </w:numPr>
        <w:tabs>
          <w:tab w:val="left" w:pos="1080"/>
        </w:tabs>
        <w:kinsoku/>
        <w:wordWrap/>
        <w:overflowPunct/>
        <w:topLinePunct w:val="0"/>
        <w:autoSpaceDE/>
        <w:autoSpaceDN/>
        <w:bidi w:val="0"/>
        <w:adjustRightInd w:val="0"/>
        <w:snapToGrid w:val="0"/>
        <w:spacing w:after="0" w:line="460" w:lineRule="atLeast"/>
        <w:ind w:left="0" w:leftChars="0" w:firstLine="420" w:firstLineChars="200"/>
        <w:textAlignment w:val="auto"/>
        <w:rPr>
          <w:rFonts w:hint="eastAsia" w:ascii="宋体" w:hAnsi="宋体" w:eastAsia="宋体" w:cs="宋体"/>
          <w:b w:val="0"/>
          <w:color w:val="auto"/>
          <w:sz w:val="21"/>
          <w:szCs w:val="21"/>
          <w:highlight w:val="none"/>
        </w:rPr>
      </w:pPr>
      <w:r>
        <w:rPr>
          <w:rFonts w:hint="eastAsia" w:ascii="宋体" w:hAnsi="宋体" w:eastAsia="宋体" w:cs="宋体"/>
          <w:color w:val="auto"/>
          <w:sz w:val="21"/>
          <w:szCs w:val="21"/>
          <w:highlight w:val="none"/>
        </w:rPr>
        <w:t>投标人或投标人主要负责人的近亲属；</w:t>
      </w:r>
    </w:p>
    <w:p w14:paraId="100FFAEA">
      <w:pPr>
        <w:pStyle w:val="11"/>
        <w:keepNext w:val="0"/>
        <w:keepLines w:val="0"/>
        <w:pageBreakBefore w:val="0"/>
        <w:widowControl w:val="0"/>
        <w:numPr>
          <w:ilvl w:val="0"/>
          <w:numId w:val="37"/>
        </w:numPr>
        <w:tabs>
          <w:tab w:val="left" w:pos="1080"/>
        </w:tabs>
        <w:kinsoku/>
        <w:wordWrap/>
        <w:overflowPunct/>
        <w:topLinePunct w:val="0"/>
        <w:autoSpaceDE/>
        <w:autoSpaceDN/>
        <w:bidi w:val="0"/>
        <w:adjustRightInd w:val="0"/>
        <w:snapToGrid w:val="0"/>
        <w:spacing w:after="0" w:line="460" w:lineRule="atLeast"/>
        <w:ind w:left="0" w:leftChars="0" w:firstLine="420" w:firstLineChars="200"/>
        <w:textAlignment w:val="auto"/>
        <w:rPr>
          <w:rFonts w:hint="eastAsia" w:ascii="宋体" w:hAnsi="宋体" w:eastAsia="宋体" w:cs="宋体"/>
          <w:b w:val="0"/>
          <w:color w:val="auto"/>
          <w:sz w:val="21"/>
          <w:szCs w:val="21"/>
          <w:highlight w:val="none"/>
        </w:rPr>
      </w:pPr>
      <w:r>
        <w:rPr>
          <w:rFonts w:hint="eastAsia" w:ascii="宋体" w:hAnsi="宋体" w:eastAsia="宋体" w:cs="宋体"/>
          <w:color w:val="auto"/>
          <w:sz w:val="21"/>
          <w:szCs w:val="21"/>
          <w:highlight w:val="none"/>
        </w:rPr>
        <w:t>项目主管部门或者行政监督部门的人员；</w:t>
      </w:r>
    </w:p>
    <w:p w14:paraId="0178359E">
      <w:pPr>
        <w:pStyle w:val="11"/>
        <w:keepNext w:val="0"/>
        <w:keepLines w:val="0"/>
        <w:pageBreakBefore w:val="0"/>
        <w:widowControl w:val="0"/>
        <w:numPr>
          <w:ilvl w:val="0"/>
          <w:numId w:val="37"/>
        </w:numPr>
        <w:tabs>
          <w:tab w:val="left" w:pos="1080"/>
        </w:tabs>
        <w:kinsoku/>
        <w:wordWrap/>
        <w:overflowPunct/>
        <w:topLinePunct w:val="0"/>
        <w:autoSpaceDE/>
        <w:autoSpaceDN/>
        <w:bidi w:val="0"/>
        <w:adjustRightInd w:val="0"/>
        <w:snapToGrid w:val="0"/>
        <w:spacing w:after="0" w:line="460" w:lineRule="atLeast"/>
        <w:ind w:left="0" w:leftChars="0" w:firstLine="420" w:firstLineChars="200"/>
        <w:textAlignment w:val="auto"/>
        <w:rPr>
          <w:rFonts w:hint="eastAsia" w:ascii="宋体" w:hAnsi="宋体" w:eastAsia="宋体" w:cs="宋体"/>
          <w:b w:val="0"/>
          <w:color w:val="auto"/>
          <w:sz w:val="21"/>
          <w:szCs w:val="21"/>
          <w:highlight w:val="none"/>
        </w:rPr>
      </w:pPr>
      <w:r>
        <w:rPr>
          <w:rFonts w:hint="eastAsia" w:ascii="宋体" w:hAnsi="宋体" w:eastAsia="宋体" w:cs="宋体"/>
          <w:color w:val="auto"/>
          <w:sz w:val="21"/>
          <w:szCs w:val="21"/>
          <w:highlight w:val="none"/>
        </w:rPr>
        <w:t>与投标人有经济利益关系，可能影响对投标公正评审的；</w:t>
      </w:r>
    </w:p>
    <w:p w14:paraId="3BF7B83E">
      <w:pPr>
        <w:pStyle w:val="11"/>
        <w:keepNext w:val="0"/>
        <w:keepLines w:val="0"/>
        <w:pageBreakBefore w:val="0"/>
        <w:widowControl w:val="0"/>
        <w:numPr>
          <w:ilvl w:val="0"/>
          <w:numId w:val="37"/>
        </w:numPr>
        <w:tabs>
          <w:tab w:val="left" w:pos="1080"/>
        </w:tabs>
        <w:kinsoku/>
        <w:wordWrap/>
        <w:overflowPunct/>
        <w:topLinePunct w:val="0"/>
        <w:autoSpaceDE/>
        <w:autoSpaceDN/>
        <w:bidi w:val="0"/>
        <w:adjustRightInd w:val="0"/>
        <w:snapToGrid w:val="0"/>
        <w:spacing w:after="0" w:line="460" w:lineRule="atLeast"/>
        <w:ind w:left="0" w:leftChars="0" w:firstLine="420" w:firstLineChars="200"/>
        <w:textAlignment w:val="auto"/>
        <w:rPr>
          <w:rFonts w:hint="eastAsia" w:ascii="宋体" w:hAnsi="宋体" w:eastAsia="宋体" w:cs="宋体"/>
          <w:b w:val="0"/>
          <w:color w:val="auto"/>
          <w:sz w:val="21"/>
          <w:szCs w:val="21"/>
          <w:highlight w:val="none"/>
        </w:rPr>
      </w:pPr>
      <w:r>
        <w:rPr>
          <w:rFonts w:hint="eastAsia" w:ascii="宋体" w:hAnsi="宋体" w:eastAsia="宋体" w:cs="宋体"/>
          <w:color w:val="auto"/>
          <w:sz w:val="21"/>
          <w:szCs w:val="21"/>
          <w:highlight w:val="none"/>
        </w:rPr>
        <w:t>曾因在招标、评标以及其他与招标投标有关活动中从事违法行为而受过行政处罚或刑事处罚的，且在处罚期内。</w:t>
      </w:r>
    </w:p>
    <w:p w14:paraId="50FAAE47">
      <w:pPr>
        <w:pStyle w:val="11"/>
        <w:keepNext w:val="0"/>
        <w:keepLines w:val="0"/>
        <w:pageBreakBefore w:val="0"/>
        <w:widowControl w:val="0"/>
        <w:numPr>
          <w:ilvl w:val="0"/>
          <w:numId w:val="37"/>
        </w:numPr>
        <w:tabs>
          <w:tab w:val="left" w:pos="1080"/>
        </w:tabs>
        <w:kinsoku/>
        <w:wordWrap/>
        <w:overflowPunct/>
        <w:topLinePunct w:val="0"/>
        <w:autoSpaceDE/>
        <w:autoSpaceDN/>
        <w:bidi w:val="0"/>
        <w:adjustRightInd w:val="0"/>
        <w:snapToGrid w:val="0"/>
        <w:spacing w:after="0" w:line="460" w:lineRule="atLeast"/>
        <w:ind w:left="0" w:leftChars="0" w:firstLine="420" w:firstLineChars="200"/>
        <w:textAlignment w:val="auto"/>
        <w:rPr>
          <w:rFonts w:hint="eastAsia" w:ascii="宋体" w:hAnsi="宋体" w:eastAsia="宋体" w:cs="宋体"/>
          <w:b w:val="0"/>
          <w:color w:val="auto"/>
          <w:sz w:val="21"/>
          <w:szCs w:val="21"/>
          <w:highlight w:val="none"/>
        </w:rPr>
      </w:pPr>
      <w:r>
        <w:rPr>
          <w:rFonts w:hint="eastAsia" w:ascii="宋体" w:hAnsi="宋体" w:eastAsia="宋体" w:cs="宋体"/>
          <w:color w:val="auto"/>
          <w:sz w:val="21"/>
          <w:szCs w:val="21"/>
          <w:highlight w:val="none"/>
        </w:rPr>
        <w:t>与投标人有其他利害关系；</w:t>
      </w:r>
    </w:p>
    <w:p w14:paraId="5CAA6FA3">
      <w:pPr>
        <w:pStyle w:val="11"/>
        <w:keepNext w:val="0"/>
        <w:keepLines w:val="0"/>
        <w:pageBreakBefore w:val="0"/>
        <w:widowControl w:val="0"/>
        <w:numPr>
          <w:ilvl w:val="0"/>
          <w:numId w:val="37"/>
        </w:numPr>
        <w:tabs>
          <w:tab w:val="left" w:pos="1080"/>
        </w:tabs>
        <w:kinsoku/>
        <w:wordWrap/>
        <w:overflowPunct/>
        <w:topLinePunct w:val="0"/>
        <w:autoSpaceDE/>
        <w:autoSpaceDN/>
        <w:bidi w:val="0"/>
        <w:adjustRightInd w:val="0"/>
        <w:snapToGrid w:val="0"/>
        <w:spacing w:after="0" w:line="460" w:lineRule="atLeast"/>
        <w:ind w:left="0" w:leftChars="0" w:firstLine="420" w:firstLineChars="200"/>
        <w:textAlignment w:val="auto"/>
        <w:rPr>
          <w:rFonts w:hint="eastAsia" w:ascii="宋体" w:hAnsi="宋体" w:eastAsia="宋体" w:cs="宋体"/>
          <w:b w:val="0"/>
          <w:color w:val="auto"/>
          <w:sz w:val="21"/>
          <w:szCs w:val="21"/>
          <w:highlight w:val="none"/>
        </w:rPr>
      </w:pPr>
      <w:r>
        <w:rPr>
          <w:rFonts w:hint="eastAsia" w:ascii="宋体" w:hAnsi="宋体" w:eastAsia="宋体" w:cs="宋体"/>
          <w:color w:val="auto"/>
          <w:sz w:val="21"/>
          <w:szCs w:val="21"/>
          <w:highlight w:val="none"/>
        </w:rPr>
        <w:t>法律法规要求应当回避的其他人员。</w:t>
      </w:r>
    </w:p>
    <w:p w14:paraId="107A1DE0">
      <w:pPr>
        <w:pStyle w:val="11"/>
        <w:keepNext w:val="0"/>
        <w:keepLines w:val="0"/>
        <w:pageBreakBefore w:val="0"/>
        <w:widowControl w:val="0"/>
        <w:numPr>
          <w:ilvl w:val="0"/>
          <w:numId w:val="36"/>
        </w:numPr>
        <w:tabs>
          <w:tab w:val="left" w:pos="1080"/>
          <w:tab w:val="clear" w:pos="210"/>
        </w:tabs>
        <w:kinsoku/>
        <w:wordWrap/>
        <w:overflowPunct/>
        <w:topLinePunct w:val="0"/>
        <w:autoSpaceDE/>
        <w:autoSpaceDN/>
        <w:bidi w:val="0"/>
        <w:adjustRightInd w:val="0"/>
        <w:snapToGrid w:val="0"/>
        <w:spacing w:after="0" w:line="460" w:lineRule="atLeast"/>
        <w:ind w:left="0" w:leftChars="0" w:firstLine="420" w:firstLineChars="200"/>
        <w:textAlignment w:val="auto"/>
        <w:rPr>
          <w:rFonts w:hint="eastAsia" w:ascii="宋体" w:hAnsi="宋体" w:eastAsia="宋体" w:cs="宋体"/>
          <w:b w:val="0"/>
          <w:color w:val="auto"/>
          <w:sz w:val="21"/>
          <w:szCs w:val="21"/>
          <w:highlight w:val="none"/>
        </w:rPr>
      </w:pPr>
      <w:r>
        <w:rPr>
          <w:rFonts w:hint="eastAsia" w:ascii="宋体" w:hAnsi="宋体" w:eastAsia="宋体" w:cs="宋体"/>
          <w:color w:val="auto"/>
          <w:sz w:val="21"/>
          <w:szCs w:val="21"/>
          <w:highlight w:val="none"/>
        </w:rPr>
        <w:t>评标过程中，评标委员会成员有回避事由、撤离职守或者因健康等原因不能继续评标的，招标人有权更换。被更换的评标委员会作出的评审结论无效，由更换后的评标委员会成员重新进行评审。</w:t>
      </w:r>
    </w:p>
    <w:p w14:paraId="5D7817D3">
      <w:pPr>
        <w:pStyle w:val="3"/>
        <w:keepNext w:val="0"/>
        <w:keepLines w:val="0"/>
        <w:pageBreakBefore w:val="0"/>
        <w:widowControl w:val="0"/>
        <w:numPr>
          <w:ilvl w:val="0"/>
          <w:numId w:val="35"/>
        </w:numPr>
        <w:tabs>
          <w:tab w:val="left" w:pos="861"/>
          <w:tab w:val="clear" w:pos="210"/>
        </w:tabs>
        <w:kinsoku/>
        <w:wordWrap/>
        <w:overflowPunct/>
        <w:topLinePunct w:val="0"/>
        <w:autoSpaceDE/>
        <w:autoSpaceDN/>
        <w:bidi w:val="0"/>
        <w:adjustRightInd w:val="0"/>
        <w:snapToGrid w:val="0"/>
        <w:spacing w:after="0" w:line="460" w:lineRule="atLeast"/>
        <w:ind w:left="0" w:leftChars="0" w:firstLine="422" w:firstLineChars="200"/>
        <w:textAlignment w:val="auto"/>
        <w:rPr>
          <w:rFonts w:hint="eastAsia" w:ascii="宋体" w:hAnsi="宋体" w:eastAsia="宋体" w:cs="宋体"/>
          <w:b/>
          <w:color w:val="auto"/>
          <w:sz w:val="21"/>
          <w:szCs w:val="21"/>
          <w:highlight w:val="none"/>
        </w:rPr>
      </w:pPr>
      <w:r>
        <w:rPr>
          <w:rFonts w:hint="eastAsia" w:ascii="宋体" w:hAnsi="宋体" w:eastAsia="宋体" w:cs="宋体"/>
          <w:color w:val="auto"/>
          <w:sz w:val="21"/>
          <w:szCs w:val="21"/>
          <w:highlight w:val="none"/>
        </w:rPr>
        <w:t>评标原则</w:t>
      </w:r>
    </w:p>
    <w:p w14:paraId="7BCB5039">
      <w:pPr>
        <w:pStyle w:val="11"/>
        <w:keepNext w:val="0"/>
        <w:keepLines w:val="0"/>
        <w:pageBreakBefore w:val="0"/>
        <w:widowControl w:val="0"/>
        <w:kinsoku/>
        <w:wordWrap/>
        <w:overflowPunct/>
        <w:topLinePunct w:val="0"/>
        <w:autoSpaceDE/>
        <w:autoSpaceDN/>
        <w:bidi w:val="0"/>
        <w:adjustRightInd w:val="0"/>
        <w:snapToGrid w:val="0"/>
        <w:spacing w:after="0" w:line="460" w:lineRule="atLeast"/>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评标活动遵循公平、公正、科学和择优的原则。</w:t>
      </w:r>
    </w:p>
    <w:p w14:paraId="58993DBE">
      <w:pPr>
        <w:pStyle w:val="3"/>
        <w:keepNext w:val="0"/>
        <w:keepLines w:val="0"/>
        <w:pageBreakBefore w:val="0"/>
        <w:widowControl w:val="0"/>
        <w:numPr>
          <w:ilvl w:val="0"/>
          <w:numId w:val="35"/>
        </w:numPr>
        <w:tabs>
          <w:tab w:val="left" w:pos="861"/>
          <w:tab w:val="clear" w:pos="210"/>
        </w:tabs>
        <w:kinsoku/>
        <w:wordWrap/>
        <w:overflowPunct/>
        <w:topLinePunct w:val="0"/>
        <w:autoSpaceDE/>
        <w:autoSpaceDN/>
        <w:bidi w:val="0"/>
        <w:adjustRightInd w:val="0"/>
        <w:snapToGrid w:val="0"/>
        <w:spacing w:after="0" w:line="460" w:lineRule="atLeast"/>
        <w:ind w:left="0" w:leftChars="0" w:firstLine="422" w:firstLineChars="200"/>
        <w:textAlignment w:val="auto"/>
        <w:rPr>
          <w:rFonts w:hint="eastAsia" w:ascii="宋体" w:hAnsi="宋体" w:eastAsia="宋体" w:cs="宋体"/>
          <w:b/>
          <w:color w:val="auto"/>
          <w:sz w:val="21"/>
          <w:szCs w:val="21"/>
          <w:highlight w:val="none"/>
        </w:rPr>
      </w:pPr>
      <w:r>
        <w:rPr>
          <w:rFonts w:hint="eastAsia" w:ascii="宋体" w:hAnsi="宋体" w:eastAsia="宋体" w:cs="宋体"/>
          <w:color w:val="auto"/>
          <w:sz w:val="21"/>
          <w:szCs w:val="21"/>
          <w:highlight w:val="none"/>
        </w:rPr>
        <w:t>评标</w:t>
      </w:r>
    </w:p>
    <w:p w14:paraId="5ACA6108">
      <w:pPr>
        <w:pStyle w:val="11"/>
        <w:keepNext w:val="0"/>
        <w:keepLines w:val="0"/>
        <w:pageBreakBefore w:val="0"/>
        <w:widowControl w:val="0"/>
        <w:numPr>
          <w:ilvl w:val="0"/>
          <w:numId w:val="38"/>
        </w:numPr>
        <w:tabs>
          <w:tab w:val="left" w:pos="1080"/>
          <w:tab w:val="clear" w:pos="210"/>
        </w:tabs>
        <w:kinsoku/>
        <w:wordWrap/>
        <w:overflowPunct/>
        <w:topLinePunct w:val="0"/>
        <w:autoSpaceDE/>
        <w:autoSpaceDN/>
        <w:bidi w:val="0"/>
        <w:adjustRightInd w:val="0"/>
        <w:snapToGrid w:val="0"/>
        <w:spacing w:after="0" w:line="460" w:lineRule="atLeast"/>
        <w:ind w:left="0" w:leftChars="0" w:firstLine="420" w:firstLineChars="200"/>
        <w:textAlignment w:val="auto"/>
        <w:rPr>
          <w:rFonts w:hint="eastAsia" w:ascii="宋体" w:hAnsi="宋体" w:eastAsia="宋体" w:cs="宋体"/>
          <w:b w:val="0"/>
          <w:color w:val="auto"/>
          <w:sz w:val="21"/>
          <w:szCs w:val="21"/>
          <w:highlight w:val="none"/>
        </w:rPr>
      </w:pPr>
      <w:r>
        <w:rPr>
          <w:rFonts w:hint="eastAsia" w:ascii="宋体" w:hAnsi="宋体" w:eastAsia="宋体" w:cs="宋体"/>
          <w:color w:val="auto"/>
          <w:sz w:val="21"/>
          <w:szCs w:val="21"/>
          <w:highlight w:val="none"/>
        </w:rPr>
        <w:t>评标委员会按照第三章“评标办法”规定的方法、评审因素、标准和程序对投标文件进行评审。第三章“评标办法”没有规定的方法、评审因素和标准，不作为评标依据。</w:t>
      </w:r>
    </w:p>
    <w:p w14:paraId="28AB5C86">
      <w:pPr>
        <w:pStyle w:val="11"/>
        <w:keepNext w:val="0"/>
        <w:keepLines w:val="0"/>
        <w:pageBreakBefore w:val="0"/>
        <w:widowControl w:val="0"/>
        <w:numPr>
          <w:ilvl w:val="0"/>
          <w:numId w:val="38"/>
        </w:numPr>
        <w:tabs>
          <w:tab w:val="left" w:pos="1080"/>
          <w:tab w:val="clear" w:pos="210"/>
        </w:tabs>
        <w:kinsoku/>
        <w:wordWrap/>
        <w:overflowPunct/>
        <w:topLinePunct w:val="0"/>
        <w:autoSpaceDE/>
        <w:autoSpaceDN/>
        <w:bidi w:val="0"/>
        <w:adjustRightInd w:val="0"/>
        <w:snapToGrid w:val="0"/>
        <w:spacing w:after="0" w:line="460" w:lineRule="atLeast"/>
        <w:ind w:left="0" w:leftChars="0" w:firstLine="420" w:firstLineChars="200"/>
        <w:textAlignment w:val="auto"/>
        <w:rPr>
          <w:rFonts w:hint="eastAsia" w:ascii="宋体" w:hAnsi="宋体" w:eastAsia="宋体" w:cs="宋体"/>
          <w:b w:val="0"/>
          <w:color w:val="auto"/>
          <w:sz w:val="21"/>
          <w:szCs w:val="21"/>
          <w:highlight w:val="none"/>
        </w:rPr>
      </w:pPr>
      <w:r>
        <w:rPr>
          <w:rFonts w:hint="eastAsia" w:ascii="宋体" w:hAnsi="宋体" w:eastAsia="宋体" w:cs="宋体"/>
          <w:color w:val="auto"/>
          <w:sz w:val="21"/>
          <w:szCs w:val="21"/>
          <w:highlight w:val="none"/>
        </w:rPr>
        <w:t>评标完成后，评标委员会应当向招标人提交书面评标报告和中标候选人名单。</w:t>
      </w:r>
    </w:p>
    <w:p w14:paraId="182FA6BB">
      <w:pPr>
        <w:pStyle w:val="3"/>
        <w:keepNext w:val="0"/>
        <w:keepLines w:val="0"/>
        <w:pageBreakBefore w:val="0"/>
        <w:widowControl w:val="0"/>
        <w:numPr>
          <w:ilvl w:val="0"/>
          <w:numId w:val="35"/>
        </w:numPr>
        <w:tabs>
          <w:tab w:val="left" w:pos="861"/>
          <w:tab w:val="clear" w:pos="210"/>
        </w:tabs>
        <w:kinsoku/>
        <w:wordWrap/>
        <w:overflowPunct/>
        <w:topLinePunct w:val="0"/>
        <w:autoSpaceDE/>
        <w:autoSpaceDN/>
        <w:bidi w:val="0"/>
        <w:adjustRightInd w:val="0"/>
        <w:snapToGrid w:val="0"/>
        <w:spacing w:after="0" w:line="460" w:lineRule="atLeast"/>
        <w:ind w:left="0" w:leftChars="0" w:firstLine="420" w:firstLineChars="200"/>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无效标书条款</w:t>
      </w:r>
    </w:p>
    <w:p w14:paraId="55F6201E">
      <w:pPr>
        <w:pStyle w:val="11"/>
        <w:keepNext w:val="0"/>
        <w:keepLines w:val="0"/>
        <w:pageBreakBefore w:val="0"/>
        <w:widowControl w:val="0"/>
        <w:kinsoku/>
        <w:wordWrap/>
        <w:overflowPunct/>
        <w:topLinePunct w:val="0"/>
        <w:autoSpaceDE/>
        <w:autoSpaceDN/>
        <w:bidi w:val="0"/>
        <w:adjustRightInd w:val="0"/>
        <w:snapToGrid w:val="0"/>
        <w:spacing w:after="0" w:line="460" w:lineRule="atLeast"/>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投标文件出现下列情况之一的，将作为无效投标文件处理：</w:t>
      </w:r>
    </w:p>
    <w:p w14:paraId="1A8B9B47">
      <w:pPr>
        <w:pStyle w:val="11"/>
        <w:keepNext w:val="0"/>
        <w:keepLines w:val="0"/>
        <w:pageBreakBefore w:val="0"/>
        <w:widowControl w:val="0"/>
        <w:numPr>
          <w:ilvl w:val="0"/>
          <w:numId w:val="39"/>
        </w:numPr>
        <w:tabs>
          <w:tab w:val="left" w:pos="1080"/>
        </w:tabs>
        <w:kinsoku/>
        <w:wordWrap/>
        <w:overflowPunct/>
        <w:topLinePunct w:val="0"/>
        <w:autoSpaceDE/>
        <w:autoSpaceDN/>
        <w:bidi w:val="0"/>
        <w:adjustRightInd w:val="0"/>
        <w:snapToGrid w:val="0"/>
        <w:spacing w:after="0" w:line="460" w:lineRule="atLeast"/>
        <w:ind w:left="0" w:leftChars="0" w:firstLine="420" w:firstLineChars="200"/>
        <w:textAlignment w:val="auto"/>
        <w:rPr>
          <w:rFonts w:hint="eastAsia" w:ascii="宋体" w:hAnsi="宋体" w:eastAsia="宋体" w:cs="宋体"/>
          <w:b w:val="0"/>
          <w:color w:val="auto"/>
          <w:sz w:val="21"/>
          <w:szCs w:val="21"/>
          <w:highlight w:val="none"/>
        </w:rPr>
      </w:pPr>
      <w:r>
        <w:rPr>
          <w:rFonts w:hint="eastAsia" w:ascii="宋体" w:hAnsi="宋体" w:eastAsia="宋体" w:cs="宋体"/>
          <w:color w:val="auto"/>
          <w:sz w:val="21"/>
          <w:szCs w:val="21"/>
          <w:highlight w:val="none"/>
        </w:rPr>
        <w:t>投标文件中的投标函未加盖投标人的公章；</w:t>
      </w:r>
    </w:p>
    <w:p w14:paraId="16A48FDB">
      <w:pPr>
        <w:pStyle w:val="11"/>
        <w:keepNext w:val="0"/>
        <w:keepLines w:val="0"/>
        <w:pageBreakBefore w:val="0"/>
        <w:widowControl w:val="0"/>
        <w:numPr>
          <w:ilvl w:val="0"/>
          <w:numId w:val="39"/>
        </w:numPr>
        <w:tabs>
          <w:tab w:val="left" w:pos="1080"/>
        </w:tabs>
        <w:kinsoku/>
        <w:wordWrap/>
        <w:overflowPunct/>
        <w:topLinePunct w:val="0"/>
        <w:autoSpaceDE/>
        <w:autoSpaceDN/>
        <w:bidi w:val="0"/>
        <w:adjustRightInd w:val="0"/>
        <w:snapToGrid w:val="0"/>
        <w:spacing w:after="0" w:line="460" w:lineRule="atLeast"/>
        <w:ind w:left="0" w:leftChars="0" w:firstLine="420" w:firstLineChars="200"/>
        <w:textAlignment w:val="auto"/>
        <w:rPr>
          <w:rFonts w:hint="eastAsia" w:ascii="宋体" w:hAnsi="宋体" w:eastAsia="宋体" w:cs="宋体"/>
          <w:b w:val="0"/>
          <w:color w:val="auto"/>
          <w:sz w:val="21"/>
          <w:szCs w:val="21"/>
          <w:highlight w:val="none"/>
        </w:rPr>
      </w:pPr>
      <w:r>
        <w:rPr>
          <w:rFonts w:hint="eastAsia" w:ascii="宋体" w:hAnsi="宋体" w:eastAsia="宋体" w:cs="宋体"/>
          <w:color w:val="auto"/>
          <w:sz w:val="21"/>
          <w:szCs w:val="21"/>
          <w:highlight w:val="none"/>
        </w:rPr>
        <w:t>投标文件中的投标函未加盖企业法定代表人（或企业法定代表人委托代理人）印章（或签字）的；</w:t>
      </w:r>
    </w:p>
    <w:p w14:paraId="5AFC525C">
      <w:pPr>
        <w:pStyle w:val="11"/>
        <w:keepNext w:val="0"/>
        <w:keepLines w:val="0"/>
        <w:pageBreakBefore w:val="0"/>
        <w:widowControl w:val="0"/>
        <w:numPr>
          <w:ilvl w:val="0"/>
          <w:numId w:val="39"/>
        </w:numPr>
        <w:tabs>
          <w:tab w:val="left" w:pos="1080"/>
        </w:tabs>
        <w:kinsoku/>
        <w:wordWrap/>
        <w:overflowPunct/>
        <w:topLinePunct w:val="0"/>
        <w:autoSpaceDE/>
        <w:autoSpaceDN/>
        <w:bidi w:val="0"/>
        <w:adjustRightInd w:val="0"/>
        <w:snapToGrid w:val="0"/>
        <w:spacing w:after="0" w:line="460" w:lineRule="atLeast"/>
        <w:ind w:left="0" w:leftChars="0" w:firstLine="420" w:firstLineChars="200"/>
        <w:textAlignment w:val="auto"/>
        <w:rPr>
          <w:rFonts w:hint="eastAsia" w:ascii="宋体" w:hAnsi="宋体" w:eastAsia="宋体" w:cs="宋体"/>
          <w:b w:val="0"/>
          <w:color w:val="auto"/>
          <w:sz w:val="21"/>
          <w:szCs w:val="21"/>
          <w:highlight w:val="none"/>
        </w:rPr>
      </w:pPr>
      <w:r>
        <w:rPr>
          <w:rFonts w:hint="eastAsia" w:ascii="宋体" w:hAnsi="宋体" w:eastAsia="宋体" w:cs="宋体"/>
          <w:color w:val="auto"/>
          <w:sz w:val="21"/>
          <w:szCs w:val="21"/>
          <w:highlight w:val="none"/>
        </w:rPr>
        <w:t>投标函未加盖企业法定代表人委托代理人印章（或签字）的，企业法定代表人委托代理人没有合法、有效的委托书（原件）的；</w:t>
      </w:r>
    </w:p>
    <w:p w14:paraId="234460E1">
      <w:pPr>
        <w:pStyle w:val="11"/>
        <w:keepNext w:val="0"/>
        <w:keepLines w:val="0"/>
        <w:pageBreakBefore w:val="0"/>
        <w:widowControl w:val="0"/>
        <w:numPr>
          <w:ilvl w:val="0"/>
          <w:numId w:val="39"/>
        </w:numPr>
        <w:tabs>
          <w:tab w:val="left" w:pos="1080"/>
        </w:tabs>
        <w:kinsoku/>
        <w:wordWrap/>
        <w:overflowPunct/>
        <w:topLinePunct w:val="0"/>
        <w:autoSpaceDE/>
        <w:autoSpaceDN/>
        <w:bidi w:val="0"/>
        <w:adjustRightInd w:val="0"/>
        <w:snapToGrid w:val="0"/>
        <w:spacing w:after="0" w:line="460" w:lineRule="atLeast"/>
        <w:ind w:left="0" w:leftChars="0" w:firstLine="420" w:firstLineChars="200"/>
        <w:textAlignment w:val="auto"/>
        <w:rPr>
          <w:rFonts w:hint="eastAsia" w:ascii="宋体" w:hAnsi="宋体" w:eastAsia="宋体" w:cs="宋体"/>
          <w:b w:val="0"/>
          <w:color w:val="auto"/>
          <w:sz w:val="21"/>
          <w:szCs w:val="21"/>
          <w:highlight w:val="none"/>
        </w:rPr>
      </w:pPr>
      <w:r>
        <w:rPr>
          <w:rFonts w:hint="eastAsia" w:ascii="宋体" w:hAnsi="宋体" w:eastAsia="宋体" w:cs="宋体"/>
          <w:color w:val="auto"/>
          <w:sz w:val="21"/>
          <w:szCs w:val="21"/>
          <w:highlight w:val="none"/>
        </w:rPr>
        <w:t>投标人资格条件不符合国家有关规定或招标文件要求的；</w:t>
      </w:r>
    </w:p>
    <w:p w14:paraId="2DE5173D">
      <w:pPr>
        <w:pStyle w:val="11"/>
        <w:keepNext w:val="0"/>
        <w:keepLines w:val="0"/>
        <w:pageBreakBefore w:val="0"/>
        <w:widowControl w:val="0"/>
        <w:numPr>
          <w:ilvl w:val="0"/>
          <w:numId w:val="39"/>
        </w:numPr>
        <w:tabs>
          <w:tab w:val="left" w:pos="1080"/>
        </w:tabs>
        <w:kinsoku/>
        <w:wordWrap/>
        <w:overflowPunct/>
        <w:topLinePunct w:val="0"/>
        <w:autoSpaceDE/>
        <w:autoSpaceDN/>
        <w:bidi w:val="0"/>
        <w:adjustRightInd w:val="0"/>
        <w:snapToGrid w:val="0"/>
        <w:spacing w:after="0" w:line="460" w:lineRule="atLeast"/>
        <w:ind w:left="0" w:leftChars="0" w:firstLine="420" w:firstLineChars="200"/>
        <w:textAlignment w:val="auto"/>
        <w:rPr>
          <w:rFonts w:hint="eastAsia" w:ascii="宋体" w:hAnsi="宋体" w:eastAsia="宋体" w:cs="宋体"/>
          <w:b w:val="0"/>
          <w:color w:val="auto"/>
          <w:sz w:val="21"/>
          <w:szCs w:val="21"/>
          <w:highlight w:val="none"/>
        </w:rPr>
      </w:pPr>
      <w:r>
        <w:rPr>
          <w:rFonts w:hint="eastAsia" w:ascii="宋体" w:hAnsi="宋体" w:eastAsia="宋体" w:cs="宋体"/>
          <w:color w:val="auto"/>
          <w:sz w:val="21"/>
          <w:szCs w:val="21"/>
          <w:highlight w:val="none"/>
        </w:rPr>
        <w:t>投标人名称或组织结构与资格预审时不一致的；</w:t>
      </w:r>
    </w:p>
    <w:p w14:paraId="171F80CC">
      <w:pPr>
        <w:pStyle w:val="11"/>
        <w:keepNext w:val="0"/>
        <w:keepLines w:val="0"/>
        <w:pageBreakBefore w:val="0"/>
        <w:widowControl w:val="0"/>
        <w:numPr>
          <w:ilvl w:val="0"/>
          <w:numId w:val="39"/>
        </w:numPr>
        <w:tabs>
          <w:tab w:val="left" w:pos="1080"/>
        </w:tabs>
        <w:kinsoku/>
        <w:wordWrap/>
        <w:overflowPunct/>
        <w:topLinePunct w:val="0"/>
        <w:autoSpaceDE/>
        <w:autoSpaceDN/>
        <w:bidi w:val="0"/>
        <w:adjustRightInd w:val="0"/>
        <w:snapToGrid w:val="0"/>
        <w:spacing w:after="0" w:line="460" w:lineRule="atLeast"/>
        <w:ind w:left="0" w:leftChars="0" w:firstLine="420" w:firstLineChars="200"/>
        <w:textAlignment w:val="auto"/>
        <w:rPr>
          <w:rFonts w:hint="eastAsia" w:ascii="宋体" w:hAnsi="宋体" w:eastAsia="宋体" w:cs="宋体"/>
          <w:b w:val="0"/>
          <w:color w:val="auto"/>
          <w:sz w:val="21"/>
          <w:szCs w:val="21"/>
          <w:highlight w:val="none"/>
        </w:rPr>
      </w:pPr>
      <w:r>
        <w:rPr>
          <w:rFonts w:hint="eastAsia" w:ascii="宋体" w:hAnsi="宋体" w:eastAsia="宋体" w:cs="宋体"/>
          <w:color w:val="auto"/>
          <w:sz w:val="21"/>
          <w:szCs w:val="21"/>
          <w:highlight w:val="none"/>
        </w:rPr>
        <w:t>除在投标截止时间前经招标人书面同意外，项目负责人与资格预审时不一致的；</w:t>
      </w:r>
    </w:p>
    <w:p w14:paraId="33F309F7">
      <w:pPr>
        <w:pStyle w:val="11"/>
        <w:keepNext w:val="0"/>
        <w:keepLines w:val="0"/>
        <w:pageBreakBefore w:val="0"/>
        <w:widowControl w:val="0"/>
        <w:numPr>
          <w:ilvl w:val="0"/>
          <w:numId w:val="39"/>
        </w:numPr>
        <w:tabs>
          <w:tab w:val="left" w:pos="1080"/>
        </w:tabs>
        <w:kinsoku/>
        <w:wordWrap/>
        <w:overflowPunct/>
        <w:topLinePunct w:val="0"/>
        <w:autoSpaceDE/>
        <w:autoSpaceDN/>
        <w:bidi w:val="0"/>
        <w:adjustRightInd w:val="0"/>
        <w:snapToGrid w:val="0"/>
        <w:spacing w:after="0" w:line="460" w:lineRule="atLeast"/>
        <w:ind w:left="0" w:leftChars="0" w:firstLine="420" w:firstLineChars="200"/>
        <w:textAlignment w:val="auto"/>
        <w:rPr>
          <w:rFonts w:hint="eastAsia" w:ascii="宋体" w:hAnsi="宋体" w:eastAsia="宋体" w:cs="宋体"/>
          <w:b w:val="0"/>
          <w:color w:val="auto"/>
          <w:sz w:val="21"/>
          <w:szCs w:val="21"/>
          <w:highlight w:val="none"/>
        </w:rPr>
      </w:pPr>
      <w:r>
        <w:rPr>
          <w:rFonts w:hint="eastAsia" w:ascii="宋体" w:hAnsi="宋体" w:eastAsia="宋体" w:cs="宋体"/>
          <w:color w:val="auto"/>
          <w:sz w:val="21"/>
          <w:szCs w:val="21"/>
          <w:highlight w:val="none"/>
        </w:rPr>
        <w:t>组成联合体投标未提供联合体各方共同投标协议的；</w:t>
      </w:r>
    </w:p>
    <w:p w14:paraId="1D0A27E9">
      <w:pPr>
        <w:pStyle w:val="11"/>
        <w:keepNext w:val="0"/>
        <w:keepLines w:val="0"/>
        <w:pageBreakBefore w:val="0"/>
        <w:widowControl w:val="0"/>
        <w:numPr>
          <w:ilvl w:val="0"/>
          <w:numId w:val="39"/>
        </w:numPr>
        <w:tabs>
          <w:tab w:val="left" w:pos="1080"/>
        </w:tabs>
        <w:kinsoku/>
        <w:wordWrap/>
        <w:overflowPunct/>
        <w:topLinePunct w:val="0"/>
        <w:autoSpaceDE/>
        <w:autoSpaceDN/>
        <w:bidi w:val="0"/>
        <w:adjustRightInd w:val="0"/>
        <w:snapToGrid w:val="0"/>
        <w:spacing w:after="0" w:line="460" w:lineRule="atLeast"/>
        <w:ind w:left="0" w:leftChars="0" w:firstLine="420" w:firstLineChars="200"/>
        <w:textAlignment w:val="auto"/>
        <w:rPr>
          <w:rFonts w:hint="eastAsia" w:ascii="宋体" w:hAnsi="宋体" w:eastAsia="宋体" w:cs="宋体"/>
          <w:b w:val="0"/>
          <w:color w:val="auto"/>
          <w:sz w:val="21"/>
          <w:szCs w:val="21"/>
          <w:highlight w:val="none"/>
        </w:rPr>
      </w:pPr>
      <w:r>
        <w:rPr>
          <w:rFonts w:hint="eastAsia" w:ascii="宋体" w:hAnsi="宋体" w:eastAsia="宋体" w:cs="宋体"/>
          <w:color w:val="auto"/>
          <w:sz w:val="21"/>
          <w:szCs w:val="21"/>
          <w:highlight w:val="none"/>
        </w:rPr>
        <w:t>在同一招标项目中，联合体成员以自己名义单独投标或者参加其他联合体投标的；</w:t>
      </w:r>
    </w:p>
    <w:p w14:paraId="22F921FC">
      <w:pPr>
        <w:pStyle w:val="11"/>
        <w:keepNext w:val="0"/>
        <w:keepLines w:val="0"/>
        <w:pageBreakBefore w:val="0"/>
        <w:widowControl w:val="0"/>
        <w:numPr>
          <w:ilvl w:val="0"/>
          <w:numId w:val="39"/>
        </w:numPr>
        <w:tabs>
          <w:tab w:val="left" w:pos="1080"/>
        </w:tabs>
        <w:kinsoku/>
        <w:wordWrap/>
        <w:overflowPunct/>
        <w:topLinePunct w:val="0"/>
        <w:autoSpaceDE/>
        <w:autoSpaceDN/>
        <w:bidi w:val="0"/>
        <w:adjustRightInd w:val="0"/>
        <w:snapToGrid w:val="0"/>
        <w:spacing w:after="0" w:line="460" w:lineRule="atLeast"/>
        <w:ind w:left="0" w:leftChars="0" w:firstLine="420" w:firstLineChars="200"/>
        <w:textAlignment w:val="auto"/>
        <w:rPr>
          <w:rFonts w:hint="eastAsia" w:ascii="宋体" w:hAnsi="宋体" w:eastAsia="宋体" w:cs="宋体"/>
          <w:b w:val="0"/>
          <w:color w:val="auto"/>
          <w:sz w:val="21"/>
          <w:szCs w:val="21"/>
          <w:highlight w:val="none"/>
        </w:rPr>
      </w:pPr>
      <w:r>
        <w:rPr>
          <w:rFonts w:hint="eastAsia" w:ascii="宋体" w:hAnsi="宋体" w:eastAsia="宋体" w:cs="宋体"/>
          <w:color w:val="auto"/>
          <w:sz w:val="21"/>
          <w:szCs w:val="21"/>
          <w:highlight w:val="none"/>
        </w:rPr>
        <w:t>联合体成员与资格预审确定的结果不一致的；</w:t>
      </w:r>
    </w:p>
    <w:p w14:paraId="78922D1F">
      <w:pPr>
        <w:pStyle w:val="11"/>
        <w:keepNext w:val="0"/>
        <w:keepLines w:val="0"/>
        <w:pageBreakBefore w:val="0"/>
        <w:widowControl w:val="0"/>
        <w:numPr>
          <w:ilvl w:val="0"/>
          <w:numId w:val="39"/>
        </w:numPr>
        <w:tabs>
          <w:tab w:val="left" w:pos="1080"/>
        </w:tabs>
        <w:kinsoku/>
        <w:wordWrap/>
        <w:overflowPunct/>
        <w:topLinePunct w:val="0"/>
        <w:autoSpaceDE/>
        <w:autoSpaceDN/>
        <w:bidi w:val="0"/>
        <w:adjustRightInd w:val="0"/>
        <w:snapToGrid w:val="0"/>
        <w:spacing w:after="0" w:line="460" w:lineRule="atLeast"/>
        <w:ind w:left="0" w:leftChars="0" w:firstLine="420" w:firstLineChars="200"/>
        <w:textAlignment w:val="auto"/>
        <w:rPr>
          <w:rFonts w:hint="eastAsia" w:ascii="宋体" w:hAnsi="宋体" w:eastAsia="宋体" w:cs="宋体"/>
          <w:b w:val="0"/>
          <w:color w:val="auto"/>
          <w:sz w:val="21"/>
          <w:szCs w:val="21"/>
          <w:highlight w:val="none"/>
        </w:rPr>
      </w:pPr>
      <w:r>
        <w:rPr>
          <w:rFonts w:hint="eastAsia" w:ascii="宋体" w:hAnsi="宋体" w:eastAsia="宋体" w:cs="宋体"/>
          <w:color w:val="auto"/>
          <w:sz w:val="21"/>
          <w:szCs w:val="21"/>
          <w:highlight w:val="none"/>
        </w:rPr>
        <w:t>投标报价低于成本或者高于最高投标限价的；</w:t>
      </w:r>
    </w:p>
    <w:p w14:paraId="53960AFB">
      <w:pPr>
        <w:pStyle w:val="11"/>
        <w:keepNext w:val="0"/>
        <w:keepLines w:val="0"/>
        <w:pageBreakBefore w:val="0"/>
        <w:widowControl w:val="0"/>
        <w:numPr>
          <w:ilvl w:val="0"/>
          <w:numId w:val="39"/>
        </w:numPr>
        <w:tabs>
          <w:tab w:val="left" w:pos="1080"/>
        </w:tabs>
        <w:kinsoku/>
        <w:wordWrap/>
        <w:overflowPunct/>
        <w:topLinePunct w:val="0"/>
        <w:autoSpaceDE/>
        <w:autoSpaceDN/>
        <w:bidi w:val="0"/>
        <w:adjustRightInd w:val="0"/>
        <w:snapToGrid w:val="0"/>
        <w:spacing w:after="0" w:line="460" w:lineRule="atLeast"/>
        <w:ind w:left="0" w:leftChars="0" w:firstLine="420" w:firstLineChars="200"/>
        <w:textAlignment w:val="auto"/>
        <w:rPr>
          <w:rFonts w:hint="eastAsia" w:ascii="宋体" w:hAnsi="宋体" w:eastAsia="宋体" w:cs="宋体"/>
          <w:b w:val="0"/>
          <w:color w:val="auto"/>
          <w:sz w:val="21"/>
          <w:szCs w:val="21"/>
          <w:highlight w:val="none"/>
        </w:rPr>
      </w:pPr>
      <w:r>
        <w:rPr>
          <w:rFonts w:hint="eastAsia" w:ascii="宋体" w:hAnsi="宋体" w:eastAsia="宋体" w:cs="宋体"/>
          <w:color w:val="auto"/>
          <w:sz w:val="21"/>
          <w:szCs w:val="21"/>
          <w:highlight w:val="none"/>
        </w:rPr>
        <w:t>同一投标人提交两个及以上不同的投标文件或者投标报价，但招标文件要求提交备选投标的除外；</w:t>
      </w:r>
    </w:p>
    <w:p w14:paraId="0488F6E0">
      <w:pPr>
        <w:pStyle w:val="11"/>
        <w:keepNext w:val="0"/>
        <w:keepLines w:val="0"/>
        <w:pageBreakBefore w:val="0"/>
        <w:widowControl w:val="0"/>
        <w:numPr>
          <w:ilvl w:val="0"/>
          <w:numId w:val="39"/>
        </w:numPr>
        <w:tabs>
          <w:tab w:val="left" w:pos="1080"/>
        </w:tabs>
        <w:kinsoku/>
        <w:wordWrap/>
        <w:overflowPunct/>
        <w:topLinePunct w:val="0"/>
        <w:autoSpaceDE/>
        <w:autoSpaceDN/>
        <w:bidi w:val="0"/>
        <w:adjustRightInd w:val="0"/>
        <w:snapToGrid w:val="0"/>
        <w:spacing w:after="0" w:line="460" w:lineRule="atLeast"/>
        <w:ind w:left="0" w:leftChars="0" w:firstLine="420" w:firstLineChars="200"/>
        <w:textAlignment w:val="auto"/>
        <w:rPr>
          <w:rFonts w:hint="eastAsia" w:ascii="宋体" w:hAnsi="宋体" w:eastAsia="宋体" w:cs="宋体"/>
          <w:b w:val="0"/>
          <w:color w:val="auto"/>
          <w:sz w:val="21"/>
          <w:szCs w:val="21"/>
          <w:highlight w:val="none"/>
        </w:rPr>
      </w:pPr>
      <w:r>
        <w:rPr>
          <w:rFonts w:hint="eastAsia" w:ascii="宋体" w:hAnsi="宋体" w:eastAsia="宋体" w:cs="宋体"/>
          <w:color w:val="auto"/>
          <w:sz w:val="21"/>
          <w:szCs w:val="21"/>
          <w:highlight w:val="none"/>
        </w:rPr>
        <w:t>与招标文件规定的暂估价、暂列金额及甲供材料价格不一致的；</w:t>
      </w:r>
    </w:p>
    <w:p w14:paraId="7AE83AE2">
      <w:pPr>
        <w:pStyle w:val="11"/>
        <w:keepNext w:val="0"/>
        <w:keepLines w:val="0"/>
        <w:pageBreakBefore w:val="0"/>
        <w:widowControl w:val="0"/>
        <w:numPr>
          <w:ilvl w:val="0"/>
          <w:numId w:val="39"/>
        </w:numPr>
        <w:tabs>
          <w:tab w:val="left" w:pos="1080"/>
        </w:tabs>
        <w:kinsoku/>
        <w:wordWrap/>
        <w:overflowPunct/>
        <w:topLinePunct w:val="0"/>
        <w:autoSpaceDE/>
        <w:autoSpaceDN/>
        <w:bidi w:val="0"/>
        <w:adjustRightInd w:val="0"/>
        <w:snapToGrid w:val="0"/>
        <w:spacing w:after="0" w:line="460" w:lineRule="atLeast"/>
        <w:ind w:left="0" w:leftChars="0" w:firstLine="420" w:firstLineChars="200"/>
        <w:textAlignment w:val="auto"/>
        <w:rPr>
          <w:rFonts w:hint="eastAsia" w:ascii="宋体" w:hAnsi="宋体" w:eastAsia="宋体" w:cs="宋体"/>
          <w:b w:val="0"/>
          <w:color w:val="auto"/>
          <w:sz w:val="21"/>
          <w:szCs w:val="21"/>
          <w:highlight w:val="none"/>
        </w:rPr>
      </w:pPr>
      <w:r>
        <w:rPr>
          <w:rFonts w:hint="eastAsia" w:ascii="宋体" w:hAnsi="宋体" w:eastAsia="宋体" w:cs="宋体"/>
          <w:color w:val="auto"/>
          <w:sz w:val="21"/>
          <w:szCs w:val="21"/>
          <w:highlight w:val="none"/>
        </w:rPr>
        <w:t>与招标文件明确列出的不可竞争费用项目或费率不一致的；</w:t>
      </w:r>
    </w:p>
    <w:p w14:paraId="344A59A0">
      <w:pPr>
        <w:pStyle w:val="11"/>
        <w:keepNext w:val="0"/>
        <w:keepLines w:val="0"/>
        <w:pageBreakBefore w:val="0"/>
        <w:widowControl w:val="0"/>
        <w:numPr>
          <w:ilvl w:val="0"/>
          <w:numId w:val="39"/>
        </w:numPr>
        <w:tabs>
          <w:tab w:val="left" w:pos="1080"/>
        </w:tabs>
        <w:kinsoku/>
        <w:wordWrap/>
        <w:overflowPunct/>
        <w:topLinePunct w:val="0"/>
        <w:autoSpaceDE/>
        <w:autoSpaceDN/>
        <w:bidi w:val="0"/>
        <w:adjustRightInd w:val="0"/>
        <w:snapToGrid w:val="0"/>
        <w:spacing w:after="0" w:line="460" w:lineRule="atLeast"/>
        <w:ind w:left="0" w:leftChars="0" w:firstLine="420" w:firstLineChars="200"/>
        <w:textAlignment w:val="auto"/>
        <w:rPr>
          <w:rFonts w:hint="eastAsia" w:ascii="宋体" w:hAnsi="宋体" w:eastAsia="宋体" w:cs="宋体"/>
          <w:b w:val="0"/>
          <w:color w:val="auto"/>
          <w:sz w:val="21"/>
          <w:szCs w:val="21"/>
          <w:highlight w:val="none"/>
        </w:rPr>
      </w:pPr>
      <w:r>
        <w:rPr>
          <w:rFonts w:hint="eastAsia" w:ascii="宋体" w:hAnsi="宋体" w:eastAsia="宋体" w:cs="宋体"/>
          <w:color w:val="auto"/>
          <w:sz w:val="21"/>
          <w:szCs w:val="21"/>
          <w:highlight w:val="none"/>
        </w:rPr>
        <w:t>与招标文件提供的工程量清单中的项目编码、项目名称、项目特征、计量单位、工程量不一致的；</w:t>
      </w:r>
    </w:p>
    <w:p w14:paraId="2C17CB7F">
      <w:pPr>
        <w:pStyle w:val="11"/>
        <w:keepNext w:val="0"/>
        <w:keepLines w:val="0"/>
        <w:pageBreakBefore w:val="0"/>
        <w:widowControl w:val="0"/>
        <w:numPr>
          <w:ilvl w:val="0"/>
          <w:numId w:val="39"/>
        </w:numPr>
        <w:tabs>
          <w:tab w:val="left" w:pos="1080"/>
        </w:tabs>
        <w:kinsoku/>
        <w:wordWrap/>
        <w:overflowPunct/>
        <w:topLinePunct w:val="0"/>
        <w:autoSpaceDE/>
        <w:autoSpaceDN/>
        <w:bidi w:val="0"/>
        <w:adjustRightInd w:val="0"/>
        <w:snapToGrid w:val="0"/>
        <w:spacing w:after="0" w:line="460" w:lineRule="atLeast"/>
        <w:ind w:left="0" w:leftChars="0" w:firstLine="420" w:firstLineChars="200"/>
        <w:textAlignment w:val="auto"/>
        <w:rPr>
          <w:rFonts w:hint="eastAsia" w:ascii="宋体" w:hAnsi="宋体" w:eastAsia="宋体" w:cs="宋体"/>
          <w:b w:val="0"/>
          <w:color w:val="auto"/>
          <w:sz w:val="21"/>
          <w:szCs w:val="21"/>
          <w:highlight w:val="none"/>
        </w:rPr>
      </w:pPr>
      <w:r>
        <w:rPr>
          <w:rFonts w:hint="eastAsia" w:ascii="宋体" w:hAnsi="宋体" w:eastAsia="宋体" w:cs="宋体"/>
          <w:color w:val="auto"/>
          <w:sz w:val="21"/>
          <w:szCs w:val="21"/>
          <w:highlight w:val="none"/>
        </w:rPr>
        <w:t>未按招标文件要求提供投标保证金的；</w:t>
      </w:r>
    </w:p>
    <w:p w14:paraId="7CAFCF64">
      <w:pPr>
        <w:pStyle w:val="11"/>
        <w:keepNext w:val="0"/>
        <w:keepLines w:val="0"/>
        <w:pageBreakBefore w:val="0"/>
        <w:widowControl w:val="0"/>
        <w:numPr>
          <w:ilvl w:val="0"/>
          <w:numId w:val="39"/>
        </w:numPr>
        <w:tabs>
          <w:tab w:val="left" w:pos="1080"/>
        </w:tabs>
        <w:kinsoku/>
        <w:wordWrap/>
        <w:overflowPunct/>
        <w:topLinePunct w:val="0"/>
        <w:autoSpaceDE/>
        <w:autoSpaceDN/>
        <w:bidi w:val="0"/>
        <w:adjustRightInd w:val="0"/>
        <w:snapToGrid w:val="0"/>
        <w:spacing w:after="0" w:line="460" w:lineRule="atLeast"/>
        <w:ind w:left="0" w:leftChars="0" w:firstLine="420" w:firstLineChars="200"/>
        <w:textAlignment w:val="auto"/>
        <w:rPr>
          <w:rFonts w:hint="eastAsia" w:ascii="宋体" w:hAnsi="宋体" w:eastAsia="宋体" w:cs="宋体"/>
          <w:b w:val="0"/>
          <w:color w:val="auto"/>
          <w:sz w:val="21"/>
          <w:szCs w:val="21"/>
          <w:highlight w:val="none"/>
        </w:rPr>
      </w:pPr>
      <w:r>
        <w:rPr>
          <w:rFonts w:hint="eastAsia" w:ascii="宋体" w:hAnsi="宋体" w:eastAsia="宋体" w:cs="宋体"/>
          <w:color w:val="auto"/>
          <w:sz w:val="21"/>
          <w:szCs w:val="21"/>
          <w:highlight w:val="none"/>
        </w:rPr>
        <w:t>投标文件载明的招标项目完成期限超过招标文件规定的期限的；</w:t>
      </w:r>
    </w:p>
    <w:p w14:paraId="55E64B66">
      <w:pPr>
        <w:pStyle w:val="11"/>
        <w:keepNext w:val="0"/>
        <w:keepLines w:val="0"/>
        <w:pageBreakBefore w:val="0"/>
        <w:widowControl w:val="0"/>
        <w:numPr>
          <w:ilvl w:val="0"/>
          <w:numId w:val="39"/>
        </w:numPr>
        <w:tabs>
          <w:tab w:val="left" w:pos="1080"/>
        </w:tabs>
        <w:kinsoku/>
        <w:wordWrap/>
        <w:overflowPunct/>
        <w:topLinePunct w:val="0"/>
        <w:autoSpaceDE/>
        <w:autoSpaceDN/>
        <w:bidi w:val="0"/>
        <w:adjustRightInd w:val="0"/>
        <w:snapToGrid w:val="0"/>
        <w:spacing w:after="0" w:line="460" w:lineRule="atLeast"/>
        <w:ind w:left="0" w:leftChars="0" w:firstLine="420" w:firstLineChars="200"/>
        <w:textAlignment w:val="auto"/>
        <w:rPr>
          <w:rFonts w:hint="eastAsia" w:ascii="宋体" w:hAnsi="宋体" w:eastAsia="宋体" w:cs="宋体"/>
          <w:b w:val="0"/>
          <w:color w:val="auto"/>
          <w:sz w:val="21"/>
          <w:szCs w:val="21"/>
          <w:highlight w:val="none"/>
        </w:rPr>
      </w:pPr>
      <w:r>
        <w:rPr>
          <w:rFonts w:hint="eastAsia" w:ascii="宋体" w:hAnsi="宋体" w:eastAsia="宋体" w:cs="宋体"/>
          <w:color w:val="auto"/>
          <w:sz w:val="21"/>
          <w:szCs w:val="21"/>
          <w:highlight w:val="none"/>
        </w:rPr>
        <w:t>明显不符合技术规范、技术标准的要求的；</w:t>
      </w:r>
    </w:p>
    <w:p w14:paraId="5D291272">
      <w:pPr>
        <w:pStyle w:val="11"/>
        <w:keepNext w:val="0"/>
        <w:keepLines w:val="0"/>
        <w:pageBreakBefore w:val="0"/>
        <w:widowControl w:val="0"/>
        <w:numPr>
          <w:ilvl w:val="0"/>
          <w:numId w:val="39"/>
        </w:numPr>
        <w:tabs>
          <w:tab w:val="left" w:pos="1080"/>
        </w:tabs>
        <w:kinsoku/>
        <w:wordWrap/>
        <w:overflowPunct/>
        <w:topLinePunct w:val="0"/>
        <w:autoSpaceDE/>
        <w:autoSpaceDN/>
        <w:bidi w:val="0"/>
        <w:adjustRightInd w:val="0"/>
        <w:snapToGrid w:val="0"/>
        <w:spacing w:after="0" w:line="460" w:lineRule="atLeast"/>
        <w:ind w:left="0" w:leftChars="0" w:firstLine="420" w:firstLineChars="200"/>
        <w:textAlignment w:val="auto"/>
        <w:rPr>
          <w:rFonts w:hint="eastAsia" w:ascii="宋体" w:hAnsi="宋体" w:eastAsia="宋体" w:cs="宋体"/>
          <w:b w:val="0"/>
          <w:color w:val="auto"/>
          <w:sz w:val="21"/>
          <w:szCs w:val="21"/>
          <w:highlight w:val="none"/>
        </w:rPr>
      </w:pPr>
      <w:r>
        <w:rPr>
          <w:rFonts w:hint="eastAsia" w:ascii="宋体" w:hAnsi="宋体" w:eastAsia="宋体" w:cs="宋体"/>
          <w:color w:val="auto"/>
          <w:sz w:val="21"/>
          <w:szCs w:val="21"/>
          <w:highlight w:val="none"/>
        </w:rPr>
        <w:t>投标文件载明的货物包装方式、检验标准和方法等不符合招标文件的要求的；</w:t>
      </w:r>
    </w:p>
    <w:p w14:paraId="048300A8">
      <w:pPr>
        <w:pStyle w:val="11"/>
        <w:keepNext w:val="0"/>
        <w:keepLines w:val="0"/>
        <w:pageBreakBefore w:val="0"/>
        <w:widowControl w:val="0"/>
        <w:numPr>
          <w:ilvl w:val="0"/>
          <w:numId w:val="39"/>
        </w:numPr>
        <w:tabs>
          <w:tab w:val="left" w:pos="1080"/>
        </w:tabs>
        <w:kinsoku/>
        <w:wordWrap/>
        <w:overflowPunct/>
        <w:topLinePunct w:val="0"/>
        <w:autoSpaceDE/>
        <w:autoSpaceDN/>
        <w:bidi w:val="0"/>
        <w:adjustRightInd w:val="0"/>
        <w:snapToGrid w:val="0"/>
        <w:spacing w:after="0" w:line="460" w:lineRule="atLeast"/>
        <w:ind w:left="0" w:leftChars="0" w:firstLine="420" w:firstLineChars="200"/>
        <w:textAlignment w:val="auto"/>
        <w:rPr>
          <w:rFonts w:hint="eastAsia" w:ascii="宋体" w:hAnsi="宋体" w:eastAsia="宋体" w:cs="宋体"/>
          <w:b w:val="0"/>
          <w:color w:val="auto"/>
          <w:sz w:val="21"/>
          <w:szCs w:val="21"/>
          <w:highlight w:val="none"/>
        </w:rPr>
      </w:pPr>
      <w:r>
        <w:rPr>
          <w:rFonts w:hint="eastAsia" w:ascii="宋体" w:hAnsi="宋体" w:eastAsia="宋体" w:cs="宋体"/>
          <w:color w:val="auto"/>
          <w:sz w:val="21"/>
          <w:szCs w:val="21"/>
          <w:highlight w:val="none"/>
        </w:rPr>
        <w:t>投标文件提出了不能满足招标文件要求或招标人不能接受的工程验收、计量、价款结算和支付办法的；</w:t>
      </w:r>
    </w:p>
    <w:p w14:paraId="3893156E">
      <w:pPr>
        <w:pStyle w:val="11"/>
        <w:keepNext w:val="0"/>
        <w:keepLines w:val="0"/>
        <w:pageBreakBefore w:val="0"/>
        <w:widowControl w:val="0"/>
        <w:numPr>
          <w:ilvl w:val="0"/>
          <w:numId w:val="39"/>
        </w:numPr>
        <w:tabs>
          <w:tab w:val="left" w:pos="1080"/>
        </w:tabs>
        <w:kinsoku/>
        <w:wordWrap/>
        <w:overflowPunct/>
        <w:topLinePunct w:val="0"/>
        <w:autoSpaceDE/>
        <w:autoSpaceDN/>
        <w:bidi w:val="0"/>
        <w:adjustRightInd w:val="0"/>
        <w:snapToGrid w:val="0"/>
        <w:spacing w:after="0" w:line="460" w:lineRule="atLeast"/>
        <w:ind w:left="0" w:leftChars="0" w:firstLine="420" w:firstLineChars="200"/>
        <w:textAlignment w:val="auto"/>
        <w:rPr>
          <w:rFonts w:hint="eastAsia" w:ascii="宋体" w:hAnsi="宋体" w:eastAsia="宋体" w:cs="宋体"/>
          <w:b w:val="0"/>
          <w:color w:val="auto"/>
          <w:sz w:val="21"/>
          <w:szCs w:val="21"/>
          <w:highlight w:val="none"/>
        </w:rPr>
      </w:pPr>
      <w:r>
        <w:rPr>
          <w:rFonts w:hint="eastAsia" w:ascii="宋体" w:hAnsi="宋体" w:eastAsia="宋体" w:cs="宋体"/>
          <w:color w:val="auto"/>
          <w:sz w:val="21"/>
          <w:szCs w:val="21"/>
          <w:highlight w:val="none"/>
        </w:rPr>
        <w:t>投标人投标文件中提供的资格审查资料原件涂改未加盖原签发单位公章的、资格审查资料不完整（关键信息不齐全）、不清晰(钢印除外)关键信息无法辨认的；提供带有二维码的扫描件（或电子证照）投标的 ，扫描二维码不能正确读取有关数据或读取的数据与系统查询不一致的；</w:t>
      </w:r>
    </w:p>
    <w:p w14:paraId="13AA3B18">
      <w:pPr>
        <w:pStyle w:val="11"/>
        <w:keepNext w:val="0"/>
        <w:keepLines w:val="0"/>
        <w:pageBreakBefore w:val="0"/>
        <w:widowControl w:val="0"/>
        <w:numPr>
          <w:ilvl w:val="0"/>
          <w:numId w:val="39"/>
        </w:numPr>
        <w:tabs>
          <w:tab w:val="left" w:pos="1080"/>
        </w:tabs>
        <w:kinsoku/>
        <w:wordWrap/>
        <w:overflowPunct/>
        <w:topLinePunct w:val="0"/>
        <w:autoSpaceDE/>
        <w:autoSpaceDN/>
        <w:bidi w:val="0"/>
        <w:adjustRightInd w:val="0"/>
        <w:snapToGrid w:val="0"/>
        <w:spacing w:after="0" w:line="460" w:lineRule="atLeast"/>
        <w:ind w:left="0" w:leftChars="0" w:firstLine="420" w:firstLineChars="200"/>
        <w:textAlignment w:val="auto"/>
        <w:rPr>
          <w:rFonts w:hint="eastAsia" w:ascii="宋体" w:hAnsi="宋体" w:eastAsia="宋体" w:cs="宋体"/>
          <w:b w:val="0"/>
          <w:color w:val="auto"/>
          <w:sz w:val="21"/>
          <w:szCs w:val="21"/>
          <w:highlight w:val="none"/>
        </w:rPr>
      </w:pPr>
      <w:r>
        <w:rPr>
          <w:rFonts w:hint="eastAsia" w:ascii="宋体" w:hAnsi="宋体" w:eastAsia="宋体" w:cs="宋体"/>
          <w:color w:val="auto"/>
          <w:sz w:val="21"/>
          <w:szCs w:val="21"/>
          <w:highlight w:val="none"/>
        </w:rPr>
        <w:t>不同投标人的投标文件以及投标文件制作过程出现了评标委员会认为不应当雷同的情况的；</w:t>
      </w:r>
    </w:p>
    <w:p w14:paraId="0DDCA46E">
      <w:pPr>
        <w:pStyle w:val="11"/>
        <w:keepNext w:val="0"/>
        <w:keepLines w:val="0"/>
        <w:pageBreakBefore w:val="0"/>
        <w:widowControl w:val="0"/>
        <w:numPr>
          <w:ilvl w:val="0"/>
          <w:numId w:val="39"/>
        </w:numPr>
        <w:tabs>
          <w:tab w:val="left" w:pos="1080"/>
        </w:tabs>
        <w:kinsoku/>
        <w:wordWrap/>
        <w:overflowPunct/>
        <w:topLinePunct w:val="0"/>
        <w:autoSpaceDE/>
        <w:autoSpaceDN/>
        <w:bidi w:val="0"/>
        <w:adjustRightInd w:val="0"/>
        <w:snapToGrid w:val="0"/>
        <w:spacing w:after="0" w:line="460" w:lineRule="atLeast"/>
        <w:ind w:left="0" w:leftChars="0" w:firstLine="420" w:firstLineChars="200"/>
        <w:textAlignment w:val="auto"/>
        <w:rPr>
          <w:rFonts w:hint="eastAsia" w:ascii="宋体" w:hAnsi="宋体" w:eastAsia="宋体" w:cs="宋体"/>
          <w:b w:val="0"/>
          <w:color w:val="auto"/>
          <w:sz w:val="21"/>
          <w:szCs w:val="21"/>
          <w:highlight w:val="none"/>
        </w:rPr>
      </w:pPr>
      <w:r>
        <w:rPr>
          <w:rFonts w:hint="eastAsia" w:ascii="宋体" w:hAnsi="宋体" w:eastAsia="宋体" w:cs="宋体"/>
          <w:color w:val="auto"/>
          <w:sz w:val="21"/>
          <w:szCs w:val="21"/>
          <w:highlight w:val="none"/>
        </w:rPr>
        <w:t>以他人的名义投标、串通投标、以行贿手段谋取中标或者以其他弄虚作假方式投标的；</w:t>
      </w:r>
    </w:p>
    <w:p w14:paraId="6A448D2D">
      <w:pPr>
        <w:pStyle w:val="11"/>
        <w:keepNext w:val="0"/>
        <w:keepLines w:val="0"/>
        <w:pageBreakBefore w:val="0"/>
        <w:widowControl w:val="0"/>
        <w:numPr>
          <w:ilvl w:val="0"/>
          <w:numId w:val="39"/>
        </w:numPr>
        <w:tabs>
          <w:tab w:val="left" w:pos="1080"/>
        </w:tabs>
        <w:kinsoku/>
        <w:wordWrap/>
        <w:overflowPunct/>
        <w:topLinePunct w:val="0"/>
        <w:autoSpaceDE/>
        <w:autoSpaceDN/>
        <w:bidi w:val="0"/>
        <w:adjustRightInd w:val="0"/>
        <w:snapToGrid w:val="0"/>
        <w:spacing w:after="0" w:line="460" w:lineRule="atLeast"/>
        <w:ind w:left="0" w:leftChars="0" w:firstLine="420" w:firstLineChars="200"/>
        <w:textAlignment w:val="auto"/>
        <w:rPr>
          <w:rFonts w:hint="eastAsia" w:ascii="宋体" w:hAnsi="宋体" w:eastAsia="宋体" w:cs="宋体"/>
          <w:b w:val="0"/>
          <w:color w:val="auto"/>
          <w:sz w:val="21"/>
          <w:szCs w:val="21"/>
          <w:highlight w:val="none"/>
        </w:rPr>
      </w:pPr>
      <w:r>
        <w:rPr>
          <w:rFonts w:hint="eastAsia" w:ascii="宋体" w:hAnsi="宋体" w:eastAsia="宋体" w:cs="宋体"/>
          <w:color w:val="auto"/>
          <w:sz w:val="21"/>
          <w:szCs w:val="21"/>
          <w:highlight w:val="none"/>
        </w:rPr>
        <w:t>施工组织设计（施工方案）存在明显技术方案错误、或者不符合招标文件有关暗标要求的；</w:t>
      </w:r>
    </w:p>
    <w:p w14:paraId="044777CD">
      <w:pPr>
        <w:pStyle w:val="11"/>
        <w:keepNext w:val="0"/>
        <w:keepLines w:val="0"/>
        <w:pageBreakBefore w:val="0"/>
        <w:widowControl w:val="0"/>
        <w:numPr>
          <w:ilvl w:val="0"/>
          <w:numId w:val="39"/>
        </w:numPr>
        <w:tabs>
          <w:tab w:val="left" w:pos="1080"/>
        </w:tabs>
        <w:kinsoku/>
        <w:wordWrap/>
        <w:overflowPunct/>
        <w:topLinePunct w:val="0"/>
        <w:autoSpaceDE/>
        <w:autoSpaceDN/>
        <w:bidi w:val="0"/>
        <w:adjustRightInd w:val="0"/>
        <w:snapToGrid w:val="0"/>
        <w:spacing w:after="0" w:line="460" w:lineRule="atLeast"/>
        <w:ind w:left="0" w:leftChars="0" w:firstLine="420" w:firstLineChars="200"/>
        <w:textAlignment w:val="auto"/>
        <w:rPr>
          <w:rFonts w:hint="eastAsia" w:ascii="宋体" w:hAnsi="宋体" w:eastAsia="宋体" w:cs="宋体"/>
          <w:b w:val="0"/>
          <w:color w:val="auto"/>
          <w:sz w:val="21"/>
          <w:szCs w:val="21"/>
          <w:highlight w:val="none"/>
        </w:rPr>
      </w:pPr>
      <w:r>
        <w:rPr>
          <w:rFonts w:hint="eastAsia" w:ascii="宋体" w:hAnsi="宋体" w:eastAsia="宋体" w:cs="宋体"/>
          <w:color w:val="auto"/>
          <w:sz w:val="21"/>
          <w:szCs w:val="21"/>
          <w:highlight w:val="none"/>
        </w:rPr>
        <w:t>未按招标文件规定的格式填写，未按照投标文件编制要求编写，投标文件的组成不符合招标文件要求，投标文件内容不全、错误、混乱、前后不一致、与实际不符或关键字迹模糊、无法辨认的；</w:t>
      </w:r>
    </w:p>
    <w:p w14:paraId="116F5650">
      <w:pPr>
        <w:pStyle w:val="11"/>
        <w:keepNext w:val="0"/>
        <w:keepLines w:val="0"/>
        <w:pageBreakBefore w:val="0"/>
        <w:widowControl w:val="0"/>
        <w:numPr>
          <w:ilvl w:val="0"/>
          <w:numId w:val="39"/>
        </w:numPr>
        <w:tabs>
          <w:tab w:val="left" w:pos="1080"/>
        </w:tabs>
        <w:kinsoku/>
        <w:wordWrap/>
        <w:overflowPunct/>
        <w:topLinePunct w:val="0"/>
        <w:autoSpaceDE/>
        <w:autoSpaceDN/>
        <w:bidi w:val="0"/>
        <w:adjustRightInd w:val="0"/>
        <w:snapToGrid w:val="0"/>
        <w:spacing w:after="0" w:line="460" w:lineRule="atLeast"/>
        <w:ind w:left="0" w:leftChars="0" w:firstLine="420" w:firstLineChars="200"/>
        <w:textAlignment w:val="auto"/>
        <w:rPr>
          <w:rFonts w:hint="eastAsia" w:ascii="宋体" w:hAnsi="宋体" w:eastAsia="宋体" w:cs="宋体"/>
          <w:b w:val="0"/>
          <w:color w:val="auto"/>
          <w:sz w:val="21"/>
          <w:szCs w:val="21"/>
          <w:highlight w:val="none"/>
        </w:rPr>
      </w:pPr>
      <w:r>
        <w:rPr>
          <w:rFonts w:hint="eastAsia" w:ascii="宋体" w:hAnsi="宋体" w:eastAsia="宋体" w:cs="宋体"/>
          <w:color w:val="auto"/>
          <w:sz w:val="21"/>
          <w:szCs w:val="21"/>
          <w:highlight w:val="none"/>
        </w:rPr>
        <w:t>未对招标文件中有关工期、投标有效期、质量要求、技术标准和要求、招标范围等实质性内容作出响应的；</w:t>
      </w:r>
    </w:p>
    <w:p w14:paraId="670AF20F">
      <w:pPr>
        <w:pStyle w:val="11"/>
        <w:keepNext w:val="0"/>
        <w:keepLines w:val="0"/>
        <w:pageBreakBefore w:val="0"/>
        <w:widowControl w:val="0"/>
        <w:numPr>
          <w:ilvl w:val="0"/>
          <w:numId w:val="39"/>
        </w:numPr>
        <w:tabs>
          <w:tab w:val="left" w:pos="1080"/>
        </w:tabs>
        <w:kinsoku/>
        <w:wordWrap/>
        <w:overflowPunct/>
        <w:topLinePunct w:val="0"/>
        <w:autoSpaceDE/>
        <w:autoSpaceDN/>
        <w:bidi w:val="0"/>
        <w:adjustRightInd w:val="0"/>
        <w:snapToGrid w:val="0"/>
        <w:spacing w:after="0" w:line="460" w:lineRule="atLeast"/>
        <w:ind w:left="0" w:leftChars="0" w:firstLine="420" w:firstLineChars="200"/>
        <w:textAlignment w:val="auto"/>
        <w:rPr>
          <w:rFonts w:hint="eastAsia" w:ascii="宋体" w:hAnsi="宋体" w:eastAsia="宋体" w:cs="宋体"/>
          <w:b w:val="0"/>
          <w:color w:val="auto"/>
          <w:sz w:val="21"/>
          <w:szCs w:val="21"/>
          <w:highlight w:val="none"/>
        </w:rPr>
      </w:pPr>
      <w:r>
        <w:rPr>
          <w:rFonts w:hint="eastAsia" w:ascii="宋体" w:hAnsi="宋体" w:eastAsia="宋体" w:cs="宋体"/>
          <w:color w:val="auto"/>
          <w:sz w:val="21"/>
          <w:szCs w:val="21"/>
          <w:highlight w:val="none"/>
        </w:rPr>
        <w:t>不按评标委员会要求澄清、说明或补正的；</w:t>
      </w:r>
    </w:p>
    <w:p w14:paraId="336549B1">
      <w:pPr>
        <w:pStyle w:val="11"/>
        <w:keepNext w:val="0"/>
        <w:keepLines w:val="0"/>
        <w:pageBreakBefore w:val="0"/>
        <w:widowControl w:val="0"/>
        <w:numPr>
          <w:ilvl w:val="0"/>
          <w:numId w:val="39"/>
        </w:numPr>
        <w:tabs>
          <w:tab w:val="left" w:pos="1080"/>
        </w:tabs>
        <w:kinsoku/>
        <w:wordWrap/>
        <w:overflowPunct/>
        <w:topLinePunct w:val="0"/>
        <w:autoSpaceDE/>
        <w:autoSpaceDN/>
        <w:bidi w:val="0"/>
        <w:adjustRightInd w:val="0"/>
        <w:snapToGrid w:val="0"/>
        <w:spacing w:after="0" w:line="460" w:lineRule="atLeast"/>
        <w:ind w:left="0" w:leftChars="0" w:firstLine="420" w:firstLineChars="200"/>
        <w:textAlignment w:val="auto"/>
        <w:rPr>
          <w:rFonts w:hint="eastAsia" w:ascii="宋体" w:hAnsi="宋体" w:eastAsia="宋体" w:cs="宋体"/>
          <w:b w:val="0"/>
          <w:color w:val="auto"/>
          <w:sz w:val="21"/>
          <w:szCs w:val="21"/>
          <w:highlight w:val="none"/>
        </w:rPr>
      </w:pPr>
      <w:r>
        <w:rPr>
          <w:rFonts w:hint="eastAsia" w:ascii="宋体" w:hAnsi="宋体" w:eastAsia="宋体" w:cs="宋体"/>
          <w:color w:val="auto"/>
          <w:sz w:val="21"/>
          <w:szCs w:val="21"/>
          <w:highlight w:val="none"/>
        </w:rPr>
        <w:t>代理人或项目负责人未按照本招标文件约定的要求在本单位缴纳社会保险的；</w:t>
      </w:r>
    </w:p>
    <w:p w14:paraId="6670542F">
      <w:pPr>
        <w:pStyle w:val="11"/>
        <w:keepNext w:val="0"/>
        <w:keepLines w:val="0"/>
        <w:pageBreakBefore w:val="0"/>
        <w:widowControl w:val="0"/>
        <w:numPr>
          <w:ilvl w:val="0"/>
          <w:numId w:val="39"/>
        </w:numPr>
        <w:tabs>
          <w:tab w:val="left" w:pos="1080"/>
        </w:tabs>
        <w:kinsoku/>
        <w:wordWrap/>
        <w:overflowPunct/>
        <w:topLinePunct w:val="0"/>
        <w:autoSpaceDE/>
        <w:autoSpaceDN/>
        <w:bidi w:val="0"/>
        <w:adjustRightInd w:val="0"/>
        <w:snapToGrid w:val="0"/>
        <w:spacing w:after="0" w:line="460" w:lineRule="atLeast"/>
        <w:ind w:left="0" w:leftChars="0" w:firstLine="420" w:firstLineChars="200"/>
        <w:textAlignment w:val="auto"/>
        <w:rPr>
          <w:rFonts w:hint="eastAsia" w:ascii="宋体" w:hAnsi="宋体" w:eastAsia="宋体" w:cs="宋体"/>
          <w:b w:val="0"/>
          <w:color w:val="auto"/>
          <w:sz w:val="21"/>
          <w:szCs w:val="21"/>
          <w:highlight w:val="none"/>
        </w:rPr>
      </w:pPr>
      <w:r>
        <w:rPr>
          <w:rFonts w:hint="eastAsia" w:ascii="宋体" w:hAnsi="宋体" w:eastAsia="宋体" w:cs="宋体"/>
          <w:color w:val="auto"/>
          <w:sz w:val="21"/>
          <w:szCs w:val="21"/>
          <w:highlight w:val="none"/>
        </w:rPr>
        <w:t>投标人的电子投标文件制作机器码、预算编制软件密码锁号系统无法识别的；</w:t>
      </w:r>
    </w:p>
    <w:p w14:paraId="7C7650ED">
      <w:pPr>
        <w:pStyle w:val="11"/>
        <w:keepNext w:val="0"/>
        <w:keepLines w:val="0"/>
        <w:pageBreakBefore w:val="0"/>
        <w:widowControl w:val="0"/>
        <w:numPr>
          <w:ilvl w:val="0"/>
          <w:numId w:val="39"/>
        </w:numPr>
        <w:tabs>
          <w:tab w:val="left" w:pos="1080"/>
        </w:tabs>
        <w:kinsoku/>
        <w:wordWrap/>
        <w:overflowPunct/>
        <w:topLinePunct w:val="0"/>
        <w:autoSpaceDE/>
        <w:autoSpaceDN/>
        <w:bidi w:val="0"/>
        <w:adjustRightInd w:val="0"/>
        <w:snapToGrid w:val="0"/>
        <w:spacing w:after="0" w:line="460" w:lineRule="atLeast"/>
        <w:ind w:left="0" w:leftChars="0" w:firstLine="420" w:firstLineChars="200"/>
        <w:textAlignment w:val="auto"/>
        <w:rPr>
          <w:rFonts w:hint="eastAsia" w:ascii="宋体" w:hAnsi="宋体" w:eastAsia="宋体" w:cs="宋体"/>
          <w:b w:val="0"/>
          <w:color w:val="auto"/>
          <w:sz w:val="21"/>
          <w:szCs w:val="21"/>
          <w:highlight w:val="none"/>
        </w:rPr>
      </w:pPr>
      <w:r>
        <w:rPr>
          <w:rFonts w:hint="eastAsia" w:ascii="宋体" w:hAnsi="宋体" w:eastAsia="宋体" w:cs="宋体"/>
          <w:color w:val="auto"/>
          <w:sz w:val="21"/>
          <w:szCs w:val="21"/>
          <w:highlight w:val="none"/>
        </w:rPr>
        <w:t>不同投标人的电子投标文件制作机器码、预算编制软件密码锁号等出现一致；</w:t>
      </w:r>
    </w:p>
    <w:p w14:paraId="5B160813">
      <w:pPr>
        <w:pStyle w:val="11"/>
        <w:keepNext w:val="0"/>
        <w:keepLines w:val="0"/>
        <w:pageBreakBefore w:val="0"/>
        <w:widowControl w:val="0"/>
        <w:numPr>
          <w:ilvl w:val="0"/>
          <w:numId w:val="39"/>
        </w:numPr>
        <w:tabs>
          <w:tab w:val="left" w:pos="1080"/>
        </w:tabs>
        <w:kinsoku/>
        <w:wordWrap/>
        <w:overflowPunct/>
        <w:topLinePunct w:val="0"/>
        <w:autoSpaceDE/>
        <w:autoSpaceDN/>
        <w:bidi w:val="0"/>
        <w:adjustRightInd w:val="0"/>
        <w:snapToGrid w:val="0"/>
        <w:spacing w:after="0" w:line="460" w:lineRule="atLeast"/>
        <w:ind w:left="0" w:leftChars="0" w:firstLine="420" w:firstLineChars="200"/>
        <w:textAlignment w:val="auto"/>
        <w:rPr>
          <w:rFonts w:hint="eastAsia" w:ascii="宋体" w:hAnsi="宋体" w:eastAsia="宋体" w:cs="宋体"/>
          <w:b w:val="0"/>
          <w:color w:val="auto"/>
          <w:sz w:val="21"/>
          <w:szCs w:val="21"/>
          <w:highlight w:val="none"/>
        </w:rPr>
      </w:pPr>
      <w:r>
        <w:rPr>
          <w:rFonts w:hint="eastAsia" w:ascii="宋体" w:hAnsi="宋体" w:eastAsia="宋体" w:cs="宋体"/>
          <w:color w:val="auto"/>
          <w:sz w:val="21"/>
          <w:szCs w:val="21"/>
          <w:highlight w:val="none"/>
        </w:rPr>
        <w:t>按招标文件约定应参加开标会的人员，未携带有效的二代身份证（不含临时身份证）参加开标会议或未参加开标会议的；</w:t>
      </w:r>
    </w:p>
    <w:p w14:paraId="6DE3759F">
      <w:pPr>
        <w:pStyle w:val="11"/>
        <w:keepNext w:val="0"/>
        <w:keepLines w:val="0"/>
        <w:pageBreakBefore w:val="0"/>
        <w:widowControl w:val="0"/>
        <w:numPr>
          <w:ilvl w:val="0"/>
          <w:numId w:val="39"/>
        </w:numPr>
        <w:tabs>
          <w:tab w:val="left" w:pos="1080"/>
        </w:tabs>
        <w:kinsoku/>
        <w:wordWrap/>
        <w:overflowPunct/>
        <w:topLinePunct w:val="0"/>
        <w:autoSpaceDE/>
        <w:autoSpaceDN/>
        <w:bidi w:val="0"/>
        <w:adjustRightInd w:val="0"/>
        <w:snapToGrid w:val="0"/>
        <w:spacing w:after="0" w:line="460" w:lineRule="atLeast"/>
        <w:ind w:left="0" w:leftChars="0" w:firstLine="420" w:firstLineChars="200"/>
        <w:textAlignment w:val="auto"/>
        <w:rPr>
          <w:rFonts w:hint="eastAsia" w:ascii="宋体" w:hAnsi="宋体" w:eastAsia="宋体" w:cs="宋体"/>
          <w:b w:val="0"/>
          <w:color w:val="auto"/>
          <w:sz w:val="21"/>
          <w:szCs w:val="21"/>
          <w:highlight w:val="none"/>
        </w:rPr>
      </w:pPr>
      <w:r>
        <w:rPr>
          <w:rFonts w:hint="eastAsia" w:ascii="宋体" w:hAnsi="宋体" w:eastAsia="宋体" w:cs="宋体"/>
          <w:color w:val="auto"/>
          <w:sz w:val="21"/>
          <w:szCs w:val="21"/>
          <w:highlight w:val="none"/>
        </w:rPr>
        <w:t>出现第二章“投标人须知”第1.4.3项规定的任何一种情形的；</w:t>
      </w:r>
    </w:p>
    <w:p w14:paraId="394B9211">
      <w:pPr>
        <w:pStyle w:val="11"/>
        <w:keepNext w:val="0"/>
        <w:keepLines w:val="0"/>
        <w:pageBreakBefore w:val="0"/>
        <w:widowControl w:val="0"/>
        <w:numPr>
          <w:ilvl w:val="0"/>
          <w:numId w:val="39"/>
        </w:numPr>
        <w:tabs>
          <w:tab w:val="left" w:pos="1080"/>
        </w:tabs>
        <w:kinsoku/>
        <w:wordWrap/>
        <w:overflowPunct/>
        <w:topLinePunct w:val="0"/>
        <w:autoSpaceDE/>
        <w:autoSpaceDN/>
        <w:bidi w:val="0"/>
        <w:adjustRightInd w:val="0"/>
        <w:snapToGrid w:val="0"/>
        <w:spacing w:after="0" w:line="460" w:lineRule="atLeast"/>
        <w:ind w:left="0" w:leftChars="0" w:firstLine="420" w:firstLineChars="200"/>
        <w:textAlignment w:val="auto"/>
        <w:rPr>
          <w:rFonts w:hint="eastAsia" w:ascii="宋体" w:hAnsi="宋体" w:eastAsia="宋体" w:cs="宋体"/>
          <w:b w:val="0"/>
          <w:color w:val="auto"/>
          <w:sz w:val="21"/>
          <w:szCs w:val="21"/>
          <w:highlight w:val="none"/>
        </w:rPr>
      </w:pPr>
      <w:r>
        <w:rPr>
          <w:rFonts w:hint="eastAsia" w:ascii="宋体" w:hAnsi="宋体" w:eastAsia="宋体" w:cs="宋体"/>
          <w:color w:val="auto"/>
          <w:sz w:val="21"/>
          <w:szCs w:val="21"/>
          <w:highlight w:val="none"/>
        </w:rPr>
        <w:t>本招标文件中约定的其他无效标书情形。</w:t>
      </w:r>
    </w:p>
    <w:p w14:paraId="18C53AEF">
      <w:pPr>
        <w:pStyle w:val="11"/>
        <w:keepNext w:val="0"/>
        <w:keepLines w:val="0"/>
        <w:pageBreakBefore w:val="0"/>
        <w:widowControl w:val="0"/>
        <w:kinsoku/>
        <w:wordWrap/>
        <w:overflowPunct/>
        <w:topLinePunct w:val="0"/>
        <w:autoSpaceDE/>
        <w:autoSpaceDN/>
        <w:bidi w:val="0"/>
        <w:adjustRightInd w:val="0"/>
        <w:snapToGrid w:val="0"/>
        <w:spacing w:after="0" w:line="460" w:lineRule="atLeast"/>
        <w:ind w:left="0" w:leftChars="0" w:firstLine="422" w:firstLineChars="200"/>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凡本招标文件未明确标明无效标的，评标委员会不得作为判定无效标的依据，评标委员会也不得以不符合招标文件规定的其他实质性要求判定无效标的依据。</w:t>
      </w:r>
    </w:p>
    <w:p w14:paraId="76AC69F8">
      <w:pPr>
        <w:pStyle w:val="3"/>
        <w:keepNext w:val="0"/>
        <w:keepLines w:val="0"/>
        <w:pageBreakBefore w:val="0"/>
        <w:widowControl w:val="0"/>
        <w:numPr>
          <w:ilvl w:val="0"/>
          <w:numId w:val="35"/>
        </w:numPr>
        <w:tabs>
          <w:tab w:val="left" w:pos="861"/>
          <w:tab w:val="clear" w:pos="210"/>
        </w:tabs>
        <w:kinsoku/>
        <w:wordWrap/>
        <w:overflowPunct/>
        <w:topLinePunct w:val="0"/>
        <w:autoSpaceDE/>
        <w:autoSpaceDN/>
        <w:bidi w:val="0"/>
        <w:adjustRightInd w:val="0"/>
        <w:snapToGrid w:val="0"/>
        <w:spacing w:after="0" w:line="460" w:lineRule="atLeast"/>
        <w:ind w:left="0" w:leftChars="0" w:firstLine="420" w:firstLineChars="200"/>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串通投标和弄虚作假行为认定</w:t>
      </w:r>
    </w:p>
    <w:p w14:paraId="1F769262">
      <w:pPr>
        <w:pStyle w:val="4"/>
        <w:keepNext w:val="0"/>
        <w:keepLines w:val="0"/>
        <w:pageBreakBefore w:val="0"/>
        <w:widowControl w:val="0"/>
        <w:numPr>
          <w:ilvl w:val="0"/>
          <w:numId w:val="40"/>
        </w:numPr>
        <w:tabs>
          <w:tab w:val="left" w:pos="1041"/>
          <w:tab w:val="clear" w:pos="210"/>
        </w:tabs>
        <w:kinsoku/>
        <w:wordWrap/>
        <w:overflowPunct/>
        <w:topLinePunct w:val="0"/>
        <w:autoSpaceDE/>
        <w:autoSpaceDN/>
        <w:bidi w:val="0"/>
        <w:adjustRightInd w:val="0"/>
        <w:snapToGrid w:val="0"/>
        <w:spacing w:after="0" w:line="460" w:lineRule="atLeast"/>
        <w:ind w:left="0" w:leftChars="0" w:firstLine="420" w:firstLineChars="200"/>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招标人或者其委托的招标代理机构在招标过程中有下列情形之一的，属于与投标人串通投标：</w:t>
      </w:r>
    </w:p>
    <w:p w14:paraId="228D3640">
      <w:pPr>
        <w:pStyle w:val="11"/>
        <w:keepNext w:val="0"/>
        <w:keepLines w:val="0"/>
        <w:pageBreakBefore w:val="0"/>
        <w:widowControl w:val="0"/>
        <w:numPr>
          <w:ilvl w:val="0"/>
          <w:numId w:val="41"/>
        </w:numPr>
        <w:tabs>
          <w:tab w:val="left" w:pos="1200"/>
        </w:tabs>
        <w:kinsoku/>
        <w:wordWrap/>
        <w:overflowPunct/>
        <w:topLinePunct w:val="0"/>
        <w:autoSpaceDE/>
        <w:autoSpaceDN/>
        <w:bidi w:val="0"/>
        <w:adjustRightInd w:val="0"/>
        <w:snapToGrid w:val="0"/>
        <w:spacing w:after="0" w:line="460" w:lineRule="atLeast"/>
        <w:ind w:left="0" w:leftChars="0" w:firstLine="420" w:firstLineChars="200"/>
        <w:textAlignment w:val="auto"/>
        <w:rPr>
          <w:rFonts w:hint="eastAsia" w:ascii="宋体" w:hAnsi="宋体" w:eastAsia="宋体" w:cs="宋体"/>
          <w:b w:val="0"/>
          <w:color w:val="auto"/>
          <w:sz w:val="21"/>
          <w:szCs w:val="21"/>
          <w:highlight w:val="none"/>
        </w:rPr>
      </w:pPr>
      <w:r>
        <w:rPr>
          <w:rFonts w:hint="eastAsia" w:ascii="宋体" w:hAnsi="宋体" w:eastAsia="宋体" w:cs="宋体"/>
          <w:color w:val="auto"/>
          <w:sz w:val="21"/>
          <w:szCs w:val="21"/>
          <w:highlight w:val="none"/>
        </w:rPr>
        <w:t>招标人或者招标代理机构在开标前开启投标文件并将有关信息直接或者间接泄露给其他投标人；</w:t>
      </w:r>
    </w:p>
    <w:p w14:paraId="693AC240">
      <w:pPr>
        <w:pStyle w:val="11"/>
        <w:keepNext w:val="0"/>
        <w:keepLines w:val="0"/>
        <w:pageBreakBefore w:val="0"/>
        <w:widowControl w:val="0"/>
        <w:numPr>
          <w:ilvl w:val="0"/>
          <w:numId w:val="41"/>
        </w:numPr>
        <w:tabs>
          <w:tab w:val="left" w:pos="1200"/>
        </w:tabs>
        <w:kinsoku/>
        <w:wordWrap/>
        <w:overflowPunct/>
        <w:topLinePunct w:val="0"/>
        <w:autoSpaceDE/>
        <w:autoSpaceDN/>
        <w:bidi w:val="0"/>
        <w:adjustRightInd w:val="0"/>
        <w:snapToGrid w:val="0"/>
        <w:spacing w:after="0" w:line="460" w:lineRule="atLeast"/>
        <w:ind w:left="0" w:leftChars="0" w:firstLine="420" w:firstLineChars="200"/>
        <w:textAlignment w:val="auto"/>
        <w:rPr>
          <w:rFonts w:hint="eastAsia" w:ascii="宋体" w:hAnsi="宋体" w:eastAsia="宋体" w:cs="宋体"/>
          <w:b w:val="0"/>
          <w:color w:val="auto"/>
          <w:sz w:val="21"/>
          <w:szCs w:val="21"/>
          <w:highlight w:val="none"/>
        </w:rPr>
      </w:pPr>
      <w:r>
        <w:rPr>
          <w:rFonts w:hint="eastAsia" w:ascii="宋体" w:hAnsi="宋体" w:eastAsia="宋体" w:cs="宋体"/>
          <w:color w:val="auto"/>
          <w:sz w:val="21"/>
          <w:szCs w:val="21"/>
          <w:highlight w:val="none"/>
        </w:rPr>
        <w:t>招标人或者招标代理机构直接或者间接向投标人泄露标底、评标委员会成员等信息；</w:t>
      </w:r>
    </w:p>
    <w:p w14:paraId="3EC52ED7">
      <w:pPr>
        <w:pStyle w:val="11"/>
        <w:keepNext w:val="0"/>
        <w:keepLines w:val="0"/>
        <w:pageBreakBefore w:val="0"/>
        <w:widowControl w:val="0"/>
        <w:numPr>
          <w:ilvl w:val="0"/>
          <w:numId w:val="41"/>
        </w:numPr>
        <w:tabs>
          <w:tab w:val="left" w:pos="1200"/>
        </w:tabs>
        <w:kinsoku/>
        <w:wordWrap/>
        <w:overflowPunct/>
        <w:topLinePunct w:val="0"/>
        <w:autoSpaceDE/>
        <w:autoSpaceDN/>
        <w:bidi w:val="0"/>
        <w:adjustRightInd w:val="0"/>
        <w:snapToGrid w:val="0"/>
        <w:spacing w:after="0" w:line="460" w:lineRule="atLeast"/>
        <w:ind w:left="0" w:leftChars="0" w:firstLine="420" w:firstLineChars="200"/>
        <w:textAlignment w:val="auto"/>
        <w:rPr>
          <w:rFonts w:hint="eastAsia" w:ascii="宋体" w:hAnsi="宋体" w:eastAsia="宋体" w:cs="宋体"/>
          <w:b w:val="0"/>
          <w:color w:val="auto"/>
          <w:sz w:val="21"/>
          <w:szCs w:val="21"/>
          <w:highlight w:val="none"/>
        </w:rPr>
      </w:pPr>
      <w:r>
        <w:rPr>
          <w:rFonts w:hint="eastAsia" w:ascii="宋体" w:hAnsi="宋体" w:eastAsia="宋体" w:cs="宋体"/>
          <w:color w:val="auto"/>
          <w:sz w:val="21"/>
          <w:szCs w:val="21"/>
          <w:highlight w:val="none"/>
        </w:rPr>
        <w:t>招标人或者招标代理机构明示或者暗示投标人压低或者抬高投标报价；</w:t>
      </w:r>
    </w:p>
    <w:p w14:paraId="07E94CF3">
      <w:pPr>
        <w:pStyle w:val="11"/>
        <w:keepNext w:val="0"/>
        <w:keepLines w:val="0"/>
        <w:pageBreakBefore w:val="0"/>
        <w:widowControl w:val="0"/>
        <w:numPr>
          <w:ilvl w:val="0"/>
          <w:numId w:val="41"/>
        </w:numPr>
        <w:tabs>
          <w:tab w:val="left" w:pos="1200"/>
        </w:tabs>
        <w:kinsoku/>
        <w:wordWrap/>
        <w:overflowPunct/>
        <w:topLinePunct w:val="0"/>
        <w:autoSpaceDE/>
        <w:autoSpaceDN/>
        <w:bidi w:val="0"/>
        <w:adjustRightInd w:val="0"/>
        <w:snapToGrid w:val="0"/>
        <w:spacing w:after="0" w:line="460" w:lineRule="atLeast"/>
        <w:ind w:left="0" w:leftChars="0" w:firstLine="420" w:firstLineChars="200"/>
        <w:textAlignment w:val="auto"/>
        <w:rPr>
          <w:rFonts w:hint="eastAsia" w:ascii="宋体" w:hAnsi="宋体" w:eastAsia="宋体" w:cs="宋体"/>
          <w:b w:val="0"/>
          <w:color w:val="auto"/>
          <w:sz w:val="21"/>
          <w:szCs w:val="21"/>
          <w:highlight w:val="none"/>
        </w:rPr>
      </w:pPr>
      <w:r>
        <w:rPr>
          <w:rFonts w:hint="eastAsia" w:ascii="宋体" w:hAnsi="宋体" w:eastAsia="宋体" w:cs="宋体"/>
          <w:color w:val="auto"/>
          <w:sz w:val="21"/>
          <w:szCs w:val="21"/>
          <w:highlight w:val="none"/>
        </w:rPr>
        <w:t>招标人或者招标代理机构授意投标人撤换、修改投标文件；</w:t>
      </w:r>
    </w:p>
    <w:p w14:paraId="53343F7C">
      <w:pPr>
        <w:pStyle w:val="11"/>
        <w:keepNext w:val="0"/>
        <w:keepLines w:val="0"/>
        <w:pageBreakBefore w:val="0"/>
        <w:widowControl w:val="0"/>
        <w:numPr>
          <w:ilvl w:val="0"/>
          <w:numId w:val="41"/>
        </w:numPr>
        <w:tabs>
          <w:tab w:val="left" w:pos="1200"/>
        </w:tabs>
        <w:kinsoku/>
        <w:wordWrap/>
        <w:overflowPunct/>
        <w:topLinePunct w:val="0"/>
        <w:autoSpaceDE/>
        <w:autoSpaceDN/>
        <w:bidi w:val="0"/>
        <w:adjustRightInd w:val="0"/>
        <w:snapToGrid w:val="0"/>
        <w:spacing w:after="0" w:line="460" w:lineRule="atLeast"/>
        <w:ind w:left="0" w:leftChars="0" w:firstLine="420" w:firstLineChars="200"/>
        <w:textAlignment w:val="auto"/>
        <w:rPr>
          <w:rFonts w:hint="eastAsia" w:ascii="宋体" w:hAnsi="宋体" w:eastAsia="宋体" w:cs="宋体"/>
          <w:b w:val="0"/>
          <w:color w:val="auto"/>
          <w:sz w:val="21"/>
          <w:szCs w:val="21"/>
          <w:highlight w:val="none"/>
        </w:rPr>
      </w:pPr>
      <w:r>
        <w:rPr>
          <w:rFonts w:hint="eastAsia" w:ascii="宋体" w:hAnsi="宋体" w:eastAsia="宋体" w:cs="宋体"/>
          <w:color w:val="auto"/>
          <w:sz w:val="21"/>
          <w:szCs w:val="21"/>
          <w:highlight w:val="none"/>
        </w:rPr>
        <w:t>招标人或者招标代理机构明示或者暗示投标人为特定投标人中标提供方便；</w:t>
      </w:r>
    </w:p>
    <w:p w14:paraId="664CA09E">
      <w:pPr>
        <w:pStyle w:val="11"/>
        <w:keepNext w:val="0"/>
        <w:keepLines w:val="0"/>
        <w:pageBreakBefore w:val="0"/>
        <w:widowControl w:val="0"/>
        <w:numPr>
          <w:ilvl w:val="0"/>
          <w:numId w:val="41"/>
        </w:numPr>
        <w:tabs>
          <w:tab w:val="left" w:pos="1200"/>
        </w:tabs>
        <w:kinsoku/>
        <w:wordWrap/>
        <w:overflowPunct/>
        <w:topLinePunct w:val="0"/>
        <w:autoSpaceDE/>
        <w:autoSpaceDN/>
        <w:bidi w:val="0"/>
        <w:adjustRightInd w:val="0"/>
        <w:snapToGrid w:val="0"/>
        <w:spacing w:after="0" w:line="460" w:lineRule="atLeast"/>
        <w:ind w:left="0" w:leftChars="0" w:firstLine="420" w:firstLineChars="200"/>
        <w:textAlignment w:val="auto"/>
        <w:rPr>
          <w:rFonts w:hint="eastAsia" w:ascii="宋体" w:hAnsi="宋体" w:eastAsia="宋体" w:cs="宋体"/>
          <w:b w:val="0"/>
          <w:color w:val="auto"/>
          <w:sz w:val="21"/>
          <w:szCs w:val="21"/>
          <w:highlight w:val="none"/>
        </w:rPr>
      </w:pPr>
      <w:r>
        <w:rPr>
          <w:rFonts w:hint="eastAsia" w:ascii="宋体" w:hAnsi="宋体" w:eastAsia="宋体" w:cs="宋体"/>
          <w:color w:val="auto"/>
          <w:sz w:val="21"/>
          <w:szCs w:val="21"/>
          <w:highlight w:val="none"/>
        </w:rPr>
        <w:t>招标人或者招标代理机构与投标人为谋求特定投标人中标而采取的其他串通行为：</w:t>
      </w:r>
    </w:p>
    <w:p w14:paraId="6C733AC8">
      <w:pPr>
        <w:pStyle w:val="11"/>
        <w:keepNext w:val="0"/>
        <w:keepLines w:val="0"/>
        <w:pageBreakBefore w:val="0"/>
        <w:widowControl w:val="0"/>
        <w:numPr>
          <w:ilvl w:val="0"/>
          <w:numId w:val="42"/>
        </w:numPr>
        <w:tabs>
          <w:tab w:val="left" w:pos="840"/>
        </w:tabs>
        <w:kinsoku/>
        <w:wordWrap/>
        <w:overflowPunct/>
        <w:topLinePunct w:val="0"/>
        <w:autoSpaceDE/>
        <w:autoSpaceDN/>
        <w:bidi w:val="0"/>
        <w:adjustRightInd w:val="0"/>
        <w:snapToGrid w:val="0"/>
        <w:spacing w:after="0" w:line="460" w:lineRule="atLeast"/>
        <w:ind w:left="0" w:leftChars="0" w:firstLine="420" w:firstLineChars="200"/>
        <w:textAlignment w:val="auto"/>
        <w:rPr>
          <w:rFonts w:hint="eastAsia" w:ascii="宋体" w:hAnsi="宋体" w:eastAsia="宋体" w:cs="宋体"/>
          <w:b w:val="0"/>
          <w:color w:val="auto"/>
          <w:sz w:val="21"/>
          <w:szCs w:val="21"/>
          <w:highlight w:val="none"/>
        </w:rPr>
      </w:pPr>
      <w:r>
        <w:rPr>
          <w:rFonts w:hint="eastAsia" w:ascii="宋体" w:hAnsi="宋体" w:eastAsia="宋体" w:cs="宋体"/>
          <w:color w:val="auto"/>
          <w:sz w:val="21"/>
          <w:szCs w:val="21"/>
          <w:highlight w:val="none"/>
        </w:rPr>
        <w:t>直接或者间接向投标人泄露获取资格预审文件或者通过资格预审的投标申请人，或者已经获取招标文件的潜在投标人的名称、数量的；</w:t>
      </w:r>
    </w:p>
    <w:p w14:paraId="7A6AB1C4">
      <w:pPr>
        <w:pStyle w:val="11"/>
        <w:keepNext w:val="0"/>
        <w:keepLines w:val="0"/>
        <w:pageBreakBefore w:val="0"/>
        <w:widowControl w:val="0"/>
        <w:numPr>
          <w:ilvl w:val="0"/>
          <w:numId w:val="42"/>
        </w:numPr>
        <w:tabs>
          <w:tab w:val="left" w:pos="840"/>
        </w:tabs>
        <w:kinsoku/>
        <w:wordWrap/>
        <w:overflowPunct/>
        <w:topLinePunct w:val="0"/>
        <w:autoSpaceDE/>
        <w:autoSpaceDN/>
        <w:bidi w:val="0"/>
        <w:adjustRightInd w:val="0"/>
        <w:snapToGrid w:val="0"/>
        <w:spacing w:after="0" w:line="460" w:lineRule="atLeast"/>
        <w:ind w:left="0" w:leftChars="0" w:firstLine="420" w:firstLineChars="200"/>
        <w:textAlignment w:val="auto"/>
        <w:rPr>
          <w:rFonts w:hint="eastAsia" w:ascii="宋体" w:hAnsi="宋体" w:eastAsia="宋体" w:cs="宋体"/>
          <w:b w:val="0"/>
          <w:color w:val="auto"/>
          <w:sz w:val="21"/>
          <w:szCs w:val="21"/>
          <w:highlight w:val="none"/>
        </w:rPr>
      </w:pPr>
      <w:r>
        <w:rPr>
          <w:rFonts w:hint="eastAsia" w:ascii="宋体" w:hAnsi="宋体" w:eastAsia="宋体" w:cs="宋体"/>
          <w:color w:val="auto"/>
          <w:sz w:val="21"/>
          <w:szCs w:val="21"/>
          <w:highlight w:val="none"/>
        </w:rPr>
        <w:t>直接或者间接向投标利害关系人泄露资格审查或者评标情况的；</w:t>
      </w:r>
    </w:p>
    <w:p w14:paraId="7F7A35C7">
      <w:pPr>
        <w:pStyle w:val="11"/>
        <w:keepNext w:val="0"/>
        <w:keepLines w:val="0"/>
        <w:pageBreakBefore w:val="0"/>
        <w:widowControl w:val="0"/>
        <w:numPr>
          <w:ilvl w:val="0"/>
          <w:numId w:val="42"/>
        </w:numPr>
        <w:tabs>
          <w:tab w:val="left" w:pos="840"/>
        </w:tabs>
        <w:kinsoku/>
        <w:wordWrap/>
        <w:overflowPunct/>
        <w:topLinePunct w:val="0"/>
        <w:autoSpaceDE/>
        <w:autoSpaceDN/>
        <w:bidi w:val="0"/>
        <w:adjustRightInd w:val="0"/>
        <w:snapToGrid w:val="0"/>
        <w:spacing w:after="0" w:line="460" w:lineRule="atLeast"/>
        <w:ind w:left="0" w:leftChars="0" w:firstLine="420" w:firstLineChars="200"/>
        <w:textAlignment w:val="auto"/>
        <w:rPr>
          <w:rFonts w:hint="eastAsia" w:ascii="宋体" w:hAnsi="宋体" w:eastAsia="宋体" w:cs="宋体"/>
          <w:b w:val="0"/>
          <w:color w:val="auto"/>
          <w:sz w:val="21"/>
          <w:szCs w:val="21"/>
          <w:highlight w:val="none"/>
        </w:rPr>
      </w:pPr>
      <w:r>
        <w:rPr>
          <w:rFonts w:hint="eastAsia" w:ascii="宋体" w:hAnsi="宋体" w:eastAsia="宋体" w:cs="宋体"/>
          <w:color w:val="auto"/>
          <w:sz w:val="21"/>
          <w:szCs w:val="21"/>
          <w:highlight w:val="none"/>
        </w:rPr>
        <w:t>与投标人商定压低或者抬高标价，中标后给予投标人或者招标人额外补偿的；</w:t>
      </w:r>
    </w:p>
    <w:p w14:paraId="4FE6AD9B">
      <w:pPr>
        <w:pStyle w:val="11"/>
        <w:keepNext w:val="0"/>
        <w:keepLines w:val="0"/>
        <w:pageBreakBefore w:val="0"/>
        <w:widowControl w:val="0"/>
        <w:numPr>
          <w:ilvl w:val="0"/>
          <w:numId w:val="42"/>
        </w:numPr>
        <w:tabs>
          <w:tab w:val="left" w:pos="840"/>
        </w:tabs>
        <w:kinsoku/>
        <w:wordWrap/>
        <w:overflowPunct/>
        <w:topLinePunct w:val="0"/>
        <w:autoSpaceDE/>
        <w:autoSpaceDN/>
        <w:bidi w:val="0"/>
        <w:adjustRightInd w:val="0"/>
        <w:snapToGrid w:val="0"/>
        <w:spacing w:after="0" w:line="460" w:lineRule="atLeast"/>
        <w:ind w:left="0" w:leftChars="0" w:firstLine="420" w:firstLineChars="200"/>
        <w:textAlignment w:val="auto"/>
        <w:rPr>
          <w:rFonts w:hint="eastAsia" w:ascii="宋体" w:hAnsi="宋体" w:eastAsia="宋体" w:cs="宋体"/>
          <w:b w:val="0"/>
          <w:color w:val="auto"/>
          <w:sz w:val="21"/>
          <w:szCs w:val="21"/>
          <w:highlight w:val="none"/>
        </w:rPr>
      </w:pPr>
      <w:r>
        <w:rPr>
          <w:rFonts w:hint="eastAsia" w:ascii="宋体" w:hAnsi="宋体" w:eastAsia="宋体" w:cs="宋体"/>
          <w:color w:val="auto"/>
          <w:sz w:val="21"/>
          <w:szCs w:val="21"/>
          <w:highlight w:val="none"/>
        </w:rPr>
        <w:t>故意损毁、篡改特定投标文件内容，或者在资格预审活动中损毁、篡改特定资格预审申请人提交的资格预审申请文件；</w:t>
      </w:r>
    </w:p>
    <w:p w14:paraId="4532D4E2">
      <w:pPr>
        <w:pStyle w:val="11"/>
        <w:keepNext w:val="0"/>
        <w:keepLines w:val="0"/>
        <w:pageBreakBefore w:val="0"/>
        <w:widowControl w:val="0"/>
        <w:numPr>
          <w:ilvl w:val="0"/>
          <w:numId w:val="42"/>
        </w:numPr>
        <w:tabs>
          <w:tab w:val="left" w:pos="840"/>
        </w:tabs>
        <w:kinsoku/>
        <w:wordWrap/>
        <w:overflowPunct/>
        <w:topLinePunct w:val="0"/>
        <w:autoSpaceDE/>
        <w:autoSpaceDN/>
        <w:bidi w:val="0"/>
        <w:adjustRightInd w:val="0"/>
        <w:snapToGrid w:val="0"/>
        <w:spacing w:after="0" w:line="460" w:lineRule="atLeast"/>
        <w:ind w:left="0" w:leftChars="0" w:firstLine="420" w:firstLineChars="200"/>
        <w:textAlignment w:val="auto"/>
        <w:rPr>
          <w:rFonts w:hint="eastAsia" w:ascii="宋体" w:hAnsi="宋体" w:eastAsia="宋体" w:cs="宋体"/>
          <w:b w:val="0"/>
          <w:color w:val="auto"/>
          <w:sz w:val="21"/>
          <w:szCs w:val="21"/>
          <w:highlight w:val="none"/>
        </w:rPr>
      </w:pPr>
      <w:r>
        <w:rPr>
          <w:rFonts w:hint="eastAsia" w:ascii="宋体" w:hAnsi="宋体" w:eastAsia="宋体" w:cs="宋体"/>
          <w:color w:val="auto"/>
          <w:sz w:val="21"/>
          <w:szCs w:val="21"/>
          <w:highlight w:val="none"/>
        </w:rPr>
        <w:t>法律、法规、规章规定的其他行为。</w:t>
      </w:r>
    </w:p>
    <w:p w14:paraId="2C478860">
      <w:pPr>
        <w:pStyle w:val="4"/>
        <w:keepNext w:val="0"/>
        <w:keepLines w:val="0"/>
        <w:pageBreakBefore w:val="0"/>
        <w:widowControl w:val="0"/>
        <w:numPr>
          <w:ilvl w:val="0"/>
          <w:numId w:val="40"/>
        </w:numPr>
        <w:tabs>
          <w:tab w:val="left" w:pos="1041"/>
          <w:tab w:val="clear" w:pos="210"/>
        </w:tabs>
        <w:kinsoku/>
        <w:wordWrap/>
        <w:overflowPunct/>
        <w:topLinePunct w:val="0"/>
        <w:autoSpaceDE/>
        <w:autoSpaceDN/>
        <w:bidi w:val="0"/>
        <w:adjustRightInd w:val="0"/>
        <w:snapToGrid w:val="0"/>
        <w:spacing w:after="0" w:line="460" w:lineRule="atLeast"/>
        <w:ind w:left="0" w:leftChars="0" w:firstLine="420" w:firstLineChars="200"/>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投标人在投标过程中有下列情形之一的，属于投标人相互串通投标：</w:t>
      </w:r>
    </w:p>
    <w:p w14:paraId="5A456CDB">
      <w:pPr>
        <w:pStyle w:val="11"/>
        <w:keepNext w:val="0"/>
        <w:keepLines w:val="0"/>
        <w:pageBreakBefore w:val="0"/>
        <w:widowControl w:val="0"/>
        <w:numPr>
          <w:ilvl w:val="0"/>
          <w:numId w:val="43"/>
        </w:numPr>
        <w:tabs>
          <w:tab w:val="left" w:pos="1080"/>
          <w:tab w:val="clear" w:pos="210"/>
        </w:tabs>
        <w:kinsoku/>
        <w:wordWrap/>
        <w:overflowPunct/>
        <w:topLinePunct w:val="0"/>
        <w:autoSpaceDE/>
        <w:autoSpaceDN/>
        <w:bidi w:val="0"/>
        <w:adjustRightInd w:val="0"/>
        <w:snapToGrid w:val="0"/>
        <w:spacing w:after="0" w:line="460" w:lineRule="atLeast"/>
        <w:ind w:left="0" w:leftChars="0" w:firstLine="420" w:firstLineChars="200"/>
        <w:textAlignment w:val="auto"/>
        <w:rPr>
          <w:rFonts w:hint="eastAsia" w:ascii="宋体" w:hAnsi="宋体" w:eastAsia="宋体" w:cs="宋体"/>
          <w:b w:val="0"/>
          <w:color w:val="auto"/>
          <w:sz w:val="21"/>
          <w:szCs w:val="21"/>
          <w:highlight w:val="none"/>
        </w:rPr>
      </w:pPr>
      <w:r>
        <w:rPr>
          <w:rFonts w:hint="eastAsia" w:ascii="宋体" w:hAnsi="宋体" w:eastAsia="宋体" w:cs="宋体"/>
          <w:color w:val="auto"/>
          <w:sz w:val="21"/>
          <w:szCs w:val="21"/>
          <w:highlight w:val="none"/>
        </w:rPr>
        <w:t>投标人之间协商投标报价等投标文件的实质性内容；</w:t>
      </w:r>
    </w:p>
    <w:p w14:paraId="333E9320">
      <w:pPr>
        <w:pStyle w:val="11"/>
        <w:keepNext w:val="0"/>
        <w:keepLines w:val="0"/>
        <w:pageBreakBefore w:val="0"/>
        <w:widowControl w:val="0"/>
        <w:numPr>
          <w:ilvl w:val="0"/>
          <w:numId w:val="43"/>
        </w:numPr>
        <w:tabs>
          <w:tab w:val="left" w:pos="1080"/>
          <w:tab w:val="clear" w:pos="210"/>
        </w:tabs>
        <w:kinsoku/>
        <w:wordWrap/>
        <w:overflowPunct/>
        <w:topLinePunct w:val="0"/>
        <w:autoSpaceDE/>
        <w:autoSpaceDN/>
        <w:bidi w:val="0"/>
        <w:adjustRightInd w:val="0"/>
        <w:snapToGrid w:val="0"/>
        <w:spacing w:after="0" w:line="460" w:lineRule="atLeast"/>
        <w:ind w:left="0" w:leftChars="0" w:firstLine="420" w:firstLineChars="200"/>
        <w:textAlignment w:val="auto"/>
        <w:rPr>
          <w:rFonts w:hint="eastAsia" w:ascii="宋体" w:hAnsi="宋体" w:eastAsia="宋体" w:cs="宋体"/>
          <w:b w:val="0"/>
          <w:color w:val="auto"/>
          <w:sz w:val="21"/>
          <w:szCs w:val="21"/>
          <w:highlight w:val="none"/>
        </w:rPr>
      </w:pPr>
      <w:r>
        <w:rPr>
          <w:rFonts w:hint="eastAsia" w:ascii="宋体" w:hAnsi="宋体" w:eastAsia="宋体" w:cs="宋体"/>
          <w:color w:val="auto"/>
          <w:sz w:val="21"/>
          <w:szCs w:val="21"/>
          <w:highlight w:val="none"/>
        </w:rPr>
        <w:t>投标人之间约定中标人；</w:t>
      </w:r>
    </w:p>
    <w:p w14:paraId="09A9B41E">
      <w:pPr>
        <w:pStyle w:val="11"/>
        <w:keepNext w:val="0"/>
        <w:keepLines w:val="0"/>
        <w:pageBreakBefore w:val="0"/>
        <w:widowControl w:val="0"/>
        <w:numPr>
          <w:ilvl w:val="0"/>
          <w:numId w:val="43"/>
        </w:numPr>
        <w:tabs>
          <w:tab w:val="left" w:pos="1080"/>
          <w:tab w:val="clear" w:pos="210"/>
        </w:tabs>
        <w:kinsoku/>
        <w:wordWrap/>
        <w:overflowPunct/>
        <w:topLinePunct w:val="0"/>
        <w:autoSpaceDE/>
        <w:autoSpaceDN/>
        <w:bidi w:val="0"/>
        <w:adjustRightInd w:val="0"/>
        <w:snapToGrid w:val="0"/>
        <w:spacing w:after="0" w:line="460" w:lineRule="atLeast"/>
        <w:ind w:left="0" w:leftChars="0" w:firstLine="420" w:firstLineChars="200"/>
        <w:textAlignment w:val="auto"/>
        <w:rPr>
          <w:rFonts w:hint="eastAsia" w:ascii="宋体" w:hAnsi="宋体" w:eastAsia="宋体" w:cs="宋体"/>
          <w:b w:val="0"/>
          <w:color w:val="auto"/>
          <w:sz w:val="21"/>
          <w:szCs w:val="21"/>
          <w:highlight w:val="none"/>
        </w:rPr>
      </w:pPr>
      <w:r>
        <w:rPr>
          <w:rFonts w:hint="eastAsia" w:ascii="宋体" w:hAnsi="宋体" w:eastAsia="宋体" w:cs="宋体"/>
          <w:color w:val="auto"/>
          <w:sz w:val="21"/>
          <w:szCs w:val="21"/>
          <w:highlight w:val="none"/>
        </w:rPr>
        <w:t>投标人之间约定部分投标人放弃投标或者中标；</w:t>
      </w:r>
    </w:p>
    <w:p w14:paraId="61F5AF43">
      <w:pPr>
        <w:pStyle w:val="11"/>
        <w:keepNext w:val="0"/>
        <w:keepLines w:val="0"/>
        <w:pageBreakBefore w:val="0"/>
        <w:widowControl w:val="0"/>
        <w:numPr>
          <w:ilvl w:val="0"/>
          <w:numId w:val="43"/>
        </w:numPr>
        <w:tabs>
          <w:tab w:val="left" w:pos="1080"/>
          <w:tab w:val="clear" w:pos="210"/>
        </w:tabs>
        <w:kinsoku/>
        <w:wordWrap/>
        <w:overflowPunct/>
        <w:topLinePunct w:val="0"/>
        <w:autoSpaceDE/>
        <w:autoSpaceDN/>
        <w:bidi w:val="0"/>
        <w:adjustRightInd w:val="0"/>
        <w:snapToGrid w:val="0"/>
        <w:spacing w:after="0" w:line="460" w:lineRule="atLeast"/>
        <w:ind w:left="0" w:leftChars="0" w:firstLine="420" w:firstLineChars="200"/>
        <w:textAlignment w:val="auto"/>
        <w:rPr>
          <w:rFonts w:hint="eastAsia" w:ascii="宋体" w:hAnsi="宋体" w:eastAsia="宋体" w:cs="宋体"/>
          <w:b w:val="0"/>
          <w:color w:val="auto"/>
          <w:sz w:val="21"/>
          <w:szCs w:val="21"/>
          <w:highlight w:val="none"/>
        </w:rPr>
      </w:pPr>
      <w:r>
        <w:rPr>
          <w:rFonts w:hint="eastAsia" w:ascii="宋体" w:hAnsi="宋体" w:eastAsia="宋体" w:cs="宋体"/>
          <w:color w:val="auto"/>
          <w:sz w:val="21"/>
          <w:szCs w:val="21"/>
          <w:highlight w:val="none"/>
        </w:rPr>
        <w:t>属于同一集团、协会、商会等组织成员的投标人按照该组织要求协同投标；</w:t>
      </w:r>
    </w:p>
    <w:p w14:paraId="773A9D2D">
      <w:pPr>
        <w:pStyle w:val="11"/>
        <w:keepNext w:val="0"/>
        <w:keepLines w:val="0"/>
        <w:pageBreakBefore w:val="0"/>
        <w:widowControl w:val="0"/>
        <w:numPr>
          <w:ilvl w:val="0"/>
          <w:numId w:val="43"/>
        </w:numPr>
        <w:tabs>
          <w:tab w:val="left" w:pos="1080"/>
          <w:tab w:val="clear" w:pos="210"/>
        </w:tabs>
        <w:kinsoku/>
        <w:wordWrap/>
        <w:overflowPunct/>
        <w:topLinePunct w:val="0"/>
        <w:autoSpaceDE/>
        <w:autoSpaceDN/>
        <w:bidi w:val="0"/>
        <w:adjustRightInd w:val="0"/>
        <w:snapToGrid w:val="0"/>
        <w:spacing w:after="0" w:line="460" w:lineRule="atLeast"/>
        <w:ind w:left="0" w:leftChars="0" w:firstLine="420" w:firstLineChars="200"/>
        <w:textAlignment w:val="auto"/>
        <w:rPr>
          <w:rFonts w:hint="eastAsia" w:ascii="宋体" w:hAnsi="宋体" w:eastAsia="宋体" w:cs="宋体"/>
          <w:b w:val="0"/>
          <w:color w:val="auto"/>
          <w:sz w:val="21"/>
          <w:szCs w:val="21"/>
          <w:highlight w:val="none"/>
        </w:rPr>
      </w:pPr>
      <w:r>
        <w:rPr>
          <w:rFonts w:hint="eastAsia" w:ascii="宋体" w:hAnsi="宋体" w:eastAsia="宋体" w:cs="宋体"/>
          <w:color w:val="auto"/>
          <w:sz w:val="21"/>
          <w:szCs w:val="21"/>
          <w:highlight w:val="none"/>
        </w:rPr>
        <w:t>投标人之间为谋取中标或者排斥特定投标人而采取的其他联合行动：</w:t>
      </w:r>
    </w:p>
    <w:p w14:paraId="17775D78">
      <w:pPr>
        <w:pStyle w:val="11"/>
        <w:keepNext w:val="0"/>
        <w:keepLines w:val="0"/>
        <w:pageBreakBefore w:val="0"/>
        <w:widowControl w:val="0"/>
        <w:numPr>
          <w:ilvl w:val="0"/>
          <w:numId w:val="44"/>
        </w:numPr>
        <w:tabs>
          <w:tab w:val="left" w:pos="840"/>
        </w:tabs>
        <w:kinsoku/>
        <w:wordWrap/>
        <w:overflowPunct/>
        <w:topLinePunct w:val="0"/>
        <w:autoSpaceDE/>
        <w:autoSpaceDN/>
        <w:bidi w:val="0"/>
        <w:adjustRightInd w:val="0"/>
        <w:snapToGrid w:val="0"/>
        <w:spacing w:after="0" w:line="460" w:lineRule="atLeast"/>
        <w:ind w:left="0" w:leftChars="0" w:firstLine="420" w:firstLineChars="200"/>
        <w:textAlignment w:val="auto"/>
        <w:rPr>
          <w:rFonts w:hint="eastAsia" w:ascii="宋体" w:hAnsi="宋体" w:eastAsia="宋体" w:cs="宋体"/>
          <w:b w:val="0"/>
          <w:color w:val="auto"/>
          <w:sz w:val="21"/>
          <w:szCs w:val="21"/>
          <w:highlight w:val="none"/>
        </w:rPr>
      </w:pPr>
      <w:r>
        <w:rPr>
          <w:rFonts w:hint="eastAsia" w:ascii="宋体" w:hAnsi="宋体" w:eastAsia="宋体" w:cs="宋体"/>
          <w:color w:val="auto"/>
          <w:sz w:val="21"/>
          <w:szCs w:val="21"/>
          <w:highlight w:val="none"/>
        </w:rPr>
        <w:t>根据相互约定不按照资格预审文件要求提交资格申请文件的；</w:t>
      </w:r>
    </w:p>
    <w:p w14:paraId="269C51FA">
      <w:pPr>
        <w:pStyle w:val="11"/>
        <w:keepNext w:val="0"/>
        <w:keepLines w:val="0"/>
        <w:pageBreakBefore w:val="0"/>
        <w:widowControl w:val="0"/>
        <w:numPr>
          <w:ilvl w:val="0"/>
          <w:numId w:val="44"/>
        </w:numPr>
        <w:tabs>
          <w:tab w:val="left" w:pos="840"/>
        </w:tabs>
        <w:kinsoku/>
        <w:wordWrap/>
        <w:overflowPunct/>
        <w:topLinePunct w:val="0"/>
        <w:autoSpaceDE/>
        <w:autoSpaceDN/>
        <w:bidi w:val="0"/>
        <w:adjustRightInd w:val="0"/>
        <w:snapToGrid w:val="0"/>
        <w:spacing w:after="0" w:line="460" w:lineRule="atLeast"/>
        <w:ind w:left="0" w:leftChars="0" w:firstLine="420" w:firstLineChars="200"/>
        <w:textAlignment w:val="auto"/>
        <w:rPr>
          <w:rFonts w:hint="eastAsia" w:ascii="宋体" w:hAnsi="宋体" w:eastAsia="宋体" w:cs="宋体"/>
          <w:b w:val="0"/>
          <w:color w:val="auto"/>
          <w:sz w:val="21"/>
          <w:szCs w:val="21"/>
          <w:highlight w:val="none"/>
        </w:rPr>
      </w:pPr>
      <w:r>
        <w:rPr>
          <w:rFonts w:hint="eastAsia" w:ascii="宋体" w:hAnsi="宋体" w:eastAsia="宋体" w:cs="宋体"/>
          <w:color w:val="auto"/>
          <w:sz w:val="21"/>
          <w:szCs w:val="21"/>
          <w:highlight w:val="none"/>
        </w:rPr>
        <w:t>根据相互约定撤回投标的；</w:t>
      </w:r>
    </w:p>
    <w:p w14:paraId="49314C81">
      <w:pPr>
        <w:pStyle w:val="11"/>
        <w:keepNext w:val="0"/>
        <w:keepLines w:val="0"/>
        <w:pageBreakBefore w:val="0"/>
        <w:widowControl w:val="0"/>
        <w:numPr>
          <w:ilvl w:val="0"/>
          <w:numId w:val="44"/>
        </w:numPr>
        <w:tabs>
          <w:tab w:val="left" w:pos="840"/>
        </w:tabs>
        <w:kinsoku/>
        <w:wordWrap/>
        <w:overflowPunct/>
        <w:topLinePunct w:val="0"/>
        <w:autoSpaceDE/>
        <w:autoSpaceDN/>
        <w:bidi w:val="0"/>
        <w:adjustRightInd w:val="0"/>
        <w:snapToGrid w:val="0"/>
        <w:spacing w:after="0" w:line="460" w:lineRule="atLeast"/>
        <w:ind w:left="0" w:leftChars="0" w:firstLine="420" w:firstLineChars="200"/>
        <w:textAlignment w:val="auto"/>
        <w:rPr>
          <w:rFonts w:hint="eastAsia" w:ascii="宋体" w:hAnsi="宋体" w:eastAsia="宋体" w:cs="宋体"/>
          <w:b w:val="0"/>
          <w:color w:val="auto"/>
          <w:sz w:val="21"/>
          <w:szCs w:val="21"/>
          <w:highlight w:val="none"/>
        </w:rPr>
      </w:pPr>
      <w:r>
        <w:rPr>
          <w:rFonts w:hint="eastAsia" w:ascii="宋体" w:hAnsi="宋体" w:eastAsia="宋体" w:cs="宋体"/>
          <w:color w:val="auto"/>
          <w:sz w:val="21"/>
          <w:szCs w:val="21"/>
          <w:highlight w:val="none"/>
        </w:rPr>
        <w:t>按照相互约定不实质性响应招标文件的；</w:t>
      </w:r>
    </w:p>
    <w:p w14:paraId="64F62AD0">
      <w:pPr>
        <w:pStyle w:val="11"/>
        <w:keepNext w:val="0"/>
        <w:keepLines w:val="0"/>
        <w:pageBreakBefore w:val="0"/>
        <w:widowControl w:val="0"/>
        <w:numPr>
          <w:ilvl w:val="0"/>
          <w:numId w:val="44"/>
        </w:numPr>
        <w:tabs>
          <w:tab w:val="left" w:pos="840"/>
        </w:tabs>
        <w:kinsoku/>
        <w:wordWrap/>
        <w:overflowPunct/>
        <w:topLinePunct w:val="0"/>
        <w:autoSpaceDE/>
        <w:autoSpaceDN/>
        <w:bidi w:val="0"/>
        <w:adjustRightInd w:val="0"/>
        <w:snapToGrid w:val="0"/>
        <w:spacing w:after="0" w:line="460" w:lineRule="atLeast"/>
        <w:ind w:left="0" w:leftChars="0" w:firstLine="420" w:firstLineChars="200"/>
        <w:textAlignment w:val="auto"/>
        <w:rPr>
          <w:rFonts w:hint="eastAsia" w:ascii="宋体" w:hAnsi="宋体" w:eastAsia="宋体" w:cs="宋体"/>
          <w:b w:val="0"/>
          <w:color w:val="auto"/>
          <w:sz w:val="21"/>
          <w:szCs w:val="21"/>
          <w:highlight w:val="none"/>
        </w:rPr>
      </w:pPr>
      <w:r>
        <w:rPr>
          <w:rFonts w:hint="eastAsia" w:ascii="宋体" w:hAnsi="宋体" w:eastAsia="宋体" w:cs="宋体"/>
          <w:color w:val="auto"/>
          <w:sz w:val="21"/>
          <w:szCs w:val="21"/>
          <w:highlight w:val="none"/>
        </w:rPr>
        <w:t>按照相互约定制定投标方案的；</w:t>
      </w:r>
    </w:p>
    <w:p w14:paraId="0AA18AC9">
      <w:pPr>
        <w:pStyle w:val="11"/>
        <w:keepNext w:val="0"/>
        <w:keepLines w:val="0"/>
        <w:pageBreakBefore w:val="0"/>
        <w:widowControl w:val="0"/>
        <w:numPr>
          <w:ilvl w:val="0"/>
          <w:numId w:val="44"/>
        </w:numPr>
        <w:tabs>
          <w:tab w:val="left" w:pos="840"/>
        </w:tabs>
        <w:kinsoku/>
        <w:wordWrap/>
        <w:overflowPunct/>
        <w:topLinePunct w:val="0"/>
        <w:autoSpaceDE/>
        <w:autoSpaceDN/>
        <w:bidi w:val="0"/>
        <w:adjustRightInd w:val="0"/>
        <w:snapToGrid w:val="0"/>
        <w:spacing w:after="0" w:line="460" w:lineRule="atLeast"/>
        <w:ind w:left="0" w:leftChars="0" w:firstLine="420" w:firstLineChars="200"/>
        <w:textAlignment w:val="auto"/>
        <w:rPr>
          <w:rFonts w:hint="eastAsia" w:ascii="宋体" w:hAnsi="宋体" w:eastAsia="宋体" w:cs="宋体"/>
          <w:b w:val="0"/>
          <w:color w:val="auto"/>
          <w:sz w:val="21"/>
          <w:szCs w:val="21"/>
          <w:highlight w:val="none"/>
        </w:rPr>
      </w:pPr>
      <w:r>
        <w:rPr>
          <w:rFonts w:hint="eastAsia" w:ascii="宋体" w:hAnsi="宋体" w:eastAsia="宋体" w:cs="宋体"/>
          <w:color w:val="auto"/>
          <w:sz w:val="21"/>
          <w:szCs w:val="21"/>
          <w:highlight w:val="none"/>
        </w:rPr>
        <w:t>相互约定给予未中标的投标人费用补偿的。</w:t>
      </w:r>
    </w:p>
    <w:p w14:paraId="1BF7D699">
      <w:pPr>
        <w:pStyle w:val="11"/>
        <w:keepNext w:val="0"/>
        <w:keepLines w:val="0"/>
        <w:pageBreakBefore w:val="0"/>
        <w:widowControl w:val="0"/>
        <w:numPr>
          <w:ilvl w:val="0"/>
          <w:numId w:val="44"/>
        </w:numPr>
        <w:tabs>
          <w:tab w:val="left" w:pos="840"/>
        </w:tabs>
        <w:kinsoku/>
        <w:wordWrap/>
        <w:overflowPunct/>
        <w:topLinePunct w:val="0"/>
        <w:autoSpaceDE/>
        <w:autoSpaceDN/>
        <w:bidi w:val="0"/>
        <w:adjustRightInd w:val="0"/>
        <w:snapToGrid w:val="0"/>
        <w:spacing w:after="0" w:line="460" w:lineRule="atLeast"/>
        <w:ind w:left="0" w:leftChars="0" w:firstLine="420" w:firstLineChars="200"/>
        <w:textAlignment w:val="auto"/>
        <w:rPr>
          <w:rFonts w:hint="eastAsia" w:ascii="宋体" w:hAnsi="宋体" w:eastAsia="宋体" w:cs="宋体"/>
          <w:b w:val="0"/>
          <w:color w:val="auto"/>
          <w:sz w:val="21"/>
          <w:szCs w:val="21"/>
          <w:highlight w:val="none"/>
        </w:rPr>
      </w:pPr>
      <w:r>
        <w:rPr>
          <w:rFonts w:hint="eastAsia" w:ascii="宋体" w:hAnsi="宋体" w:eastAsia="宋体" w:cs="宋体"/>
          <w:color w:val="auto"/>
          <w:sz w:val="21"/>
          <w:szCs w:val="21"/>
          <w:highlight w:val="none"/>
        </w:rPr>
        <w:t>法律、法规、规章规定的其他行为。</w:t>
      </w:r>
    </w:p>
    <w:p w14:paraId="0D68D5D5">
      <w:pPr>
        <w:pStyle w:val="4"/>
        <w:keepNext w:val="0"/>
        <w:keepLines w:val="0"/>
        <w:pageBreakBefore w:val="0"/>
        <w:widowControl w:val="0"/>
        <w:numPr>
          <w:ilvl w:val="0"/>
          <w:numId w:val="40"/>
        </w:numPr>
        <w:tabs>
          <w:tab w:val="left" w:pos="1041"/>
          <w:tab w:val="clear" w:pos="210"/>
        </w:tabs>
        <w:kinsoku/>
        <w:wordWrap/>
        <w:overflowPunct/>
        <w:topLinePunct w:val="0"/>
        <w:autoSpaceDE/>
        <w:autoSpaceDN/>
        <w:bidi w:val="0"/>
        <w:adjustRightInd w:val="0"/>
        <w:snapToGrid w:val="0"/>
        <w:spacing w:after="0" w:line="460" w:lineRule="atLeast"/>
        <w:ind w:left="0" w:leftChars="0" w:firstLine="420" w:firstLineChars="200"/>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投标人在投标过程中有下列情形之一的，视为投标人相互串通投标：</w:t>
      </w:r>
    </w:p>
    <w:p w14:paraId="2BD362CB">
      <w:pPr>
        <w:pStyle w:val="11"/>
        <w:keepNext w:val="0"/>
        <w:keepLines w:val="0"/>
        <w:pageBreakBefore w:val="0"/>
        <w:widowControl w:val="0"/>
        <w:numPr>
          <w:ilvl w:val="0"/>
          <w:numId w:val="45"/>
        </w:numPr>
        <w:tabs>
          <w:tab w:val="left" w:pos="1200"/>
        </w:tabs>
        <w:kinsoku/>
        <w:wordWrap/>
        <w:overflowPunct/>
        <w:topLinePunct w:val="0"/>
        <w:autoSpaceDE/>
        <w:autoSpaceDN/>
        <w:bidi w:val="0"/>
        <w:adjustRightInd w:val="0"/>
        <w:snapToGrid w:val="0"/>
        <w:spacing w:after="0" w:line="460" w:lineRule="atLeast"/>
        <w:ind w:left="0" w:leftChars="0" w:firstLine="420" w:firstLineChars="200"/>
        <w:textAlignment w:val="auto"/>
        <w:rPr>
          <w:rFonts w:hint="eastAsia" w:ascii="宋体" w:hAnsi="宋体" w:eastAsia="宋体" w:cs="宋体"/>
          <w:b w:val="0"/>
          <w:color w:val="auto"/>
          <w:sz w:val="21"/>
          <w:szCs w:val="21"/>
          <w:highlight w:val="none"/>
        </w:rPr>
      </w:pPr>
      <w:r>
        <w:rPr>
          <w:rFonts w:hint="eastAsia" w:ascii="宋体" w:hAnsi="宋体" w:eastAsia="宋体" w:cs="宋体"/>
          <w:color w:val="auto"/>
          <w:sz w:val="21"/>
          <w:szCs w:val="21"/>
          <w:highlight w:val="none"/>
        </w:rPr>
        <w:t>不同投标人的投标文件由同一单位或者个人编制：</w:t>
      </w:r>
    </w:p>
    <w:p w14:paraId="6EECCCDB">
      <w:pPr>
        <w:pStyle w:val="11"/>
        <w:keepNext w:val="0"/>
        <w:keepLines w:val="0"/>
        <w:pageBreakBefore w:val="0"/>
        <w:widowControl w:val="0"/>
        <w:numPr>
          <w:ilvl w:val="0"/>
          <w:numId w:val="46"/>
        </w:numPr>
        <w:tabs>
          <w:tab w:val="left" w:pos="840"/>
        </w:tabs>
        <w:kinsoku/>
        <w:wordWrap/>
        <w:overflowPunct/>
        <w:topLinePunct w:val="0"/>
        <w:autoSpaceDE/>
        <w:autoSpaceDN/>
        <w:bidi w:val="0"/>
        <w:adjustRightInd w:val="0"/>
        <w:snapToGrid w:val="0"/>
        <w:spacing w:after="0" w:line="460" w:lineRule="atLeast"/>
        <w:ind w:left="0" w:leftChars="0" w:firstLine="420" w:firstLineChars="200"/>
        <w:textAlignment w:val="auto"/>
        <w:rPr>
          <w:rFonts w:hint="eastAsia" w:ascii="宋体" w:hAnsi="宋体" w:eastAsia="宋体" w:cs="宋体"/>
          <w:b w:val="0"/>
          <w:color w:val="auto"/>
          <w:sz w:val="21"/>
          <w:szCs w:val="21"/>
          <w:highlight w:val="none"/>
        </w:rPr>
      </w:pPr>
      <w:r>
        <w:rPr>
          <w:rFonts w:hint="eastAsia" w:ascii="宋体" w:hAnsi="宋体" w:eastAsia="宋体" w:cs="宋体"/>
          <w:color w:val="auto"/>
          <w:sz w:val="21"/>
          <w:szCs w:val="21"/>
          <w:highlight w:val="none"/>
        </w:rPr>
        <w:t>不同投标人的电子投标文件出自同一台电脑；</w:t>
      </w:r>
    </w:p>
    <w:p w14:paraId="0338BA20">
      <w:pPr>
        <w:pStyle w:val="11"/>
        <w:keepNext w:val="0"/>
        <w:keepLines w:val="0"/>
        <w:pageBreakBefore w:val="0"/>
        <w:widowControl w:val="0"/>
        <w:numPr>
          <w:ilvl w:val="0"/>
          <w:numId w:val="46"/>
        </w:numPr>
        <w:tabs>
          <w:tab w:val="left" w:pos="840"/>
        </w:tabs>
        <w:kinsoku/>
        <w:wordWrap/>
        <w:overflowPunct/>
        <w:topLinePunct w:val="0"/>
        <w:autoSpaceDE/>
        <w:autoSpaceDN/>
        <w:bidi w:val="0"/>
        <w:adjustRightInd w:val="0"/>
        <w:snapToGrid w:val="0"/>
        <w:spacing w:after="0" w:line="460" w:lineRule="atLeast"/>
        <w:ind w:left="0" w:leftChars="0" w:firstLine="420" w:firstLineChars="200"/>
        <w:textAlignment w:val="auto"/>
        <w:rPr>
          <w:rFonts w:hint="eastAsia" w:ascii="宋体" w:hAnsi="宋体" w:eastAsia="宋体" w:cs="宋体"/>
          <w:b w:val="0"/>
          <w:color w:val="auto"/>
          <w:sz w:val="21"/>
          <w:szCs w:val="21"/>
          <w:highlight w:val="none"/>
        </w:rPr>
      </w:pPr>
      <w:r>
        <w:rPr>
          <w:rFonts w:hint="eastAsia" w:ascii="宋体" w:hAnsi="宋体" w:eastAsia="宋体" w:cs="宋体"/>
          <w:color w:val="auto"/>
          <w:sz w:val="21"/>
          <w:szCs w:val="21"/>
          <w:highlight w:val="none"/>
        </w:rPr>
        <w:t>不同投标人的投标文件的编制者为同一人；</w:t>
      </w:r>
    </w:p>
    <w:p w14:paraId="7D2C20B7">
      <w:pPr>
        <w:pStyle w:val="11"/>
        <w:keepNext w:val="0"/>
        <w:keepLines w:val="0"/>
        <w:pageBreakBefore w:val="0"/>
        <w:widowControl w:val="0"/>
        <w:numPr>
          <w:ilvl w:val="0"/>
          <w:numId w:val="46"/>
        </w:numPr>
        <w:tabs>
          <w:tab w:val="left" w:pos="840"/>
        </w:tabs>
        <w:kinsoku/>
        <w:wordWrap/>
        <w:overflowPunct/>
        <w:topLinePunct w:val="0"/>
        <w:autoSpaceDE/>
        <w:autoSpaceDN/>
        <w:bidi w:val="0"/>
        <w:adjustRightInd w:val="0"/>
        <w:snapToGrid w:val="0"/>
        <w:spacing w:after="0" w:line="460" w:lineRule="atLeast"/>
        <w:ind w:left="0" w:leftChars="0" w:firstLine="420" w:firstLineChars="200"/>
        <w:textAlignment w:val="auto"/>
        <w:rPr>
          <w:rFonts w:hint="eastAsia" w:ascii="宋体" w:hAnsi="宋体" w:eastAsia="宋体" w:cs="宋体"/>
          <w:b w:val="0"/>
          <w:color w:val="auto"/>
          <w:sz w:val="21"/>
          <w:szCs w:val="21"/>
          <w:highlight w:val="none"/>
        </w:rPr>
      </w:pPr>
      <w:r>
        <w:rPr>
          <w:rFonts w:hint="eastAsia" w:ascii="宋体" w:hAnsi="宋体" w:eastAsia="宋体" w:cs="宋体"/>
          <w:color w:val="auto"/>
          <w:sz w:val="21"/>
          <w:szCs w:val="21"/>
          <w:highlight w:val="none"/>
        </w:rPr>
        <w:t>不同投标人的投标文件由同一投标人的附属设备打印、复印的；</w:t>
      </w:r>
    </w:p>
    <w:p w14:paraId="73A880CA">
      <w:pPr>
        <w:pStyle w:val="11"/>
        <w:keepNext w:val="0"/>
        <w:keepLines w:val="0"/>
        <w:pageBreakBefore w:val="0"/>
        <w:widowControl w:val="0"/>
        <w:numPr>
          <w:ilvl w:val="0"/>
          <w:numId w:val="46"/>
        </w:numPr>
        <w:tabs>
          <w:tab w:val="left" w:pos="840"/>
        </w:tabs>
        <w:kinsoku/>
        <w:wordWrap/>
        <w:overflowPunct/>
        <w:topLinePunct w:val="0"/>
        <w:autoSpaceDE/>
        <w:autoSpaceDN/>
        <w:bidi w:val="0"/>
        <w:adjustRightInd w:val="0"/>
        <w:snapToGrid w:val="0"/>
        <w:spacing w:after="0" w:line="460" w:lineRule="atLeast"/>
        <w:ind w:left="0" w:leftChars="0" w:firstLine="420" w:firstLineChars="200"/>
        <w:textAlignment w:val="auto"/>
        <w:rPr>
          <w:rFonts w:hint="eastAsia" w:ascii="宋体" w:hAnsi="宋体" w:eastAsia="宋体" w:cs="宋体"/>
          <w:b w:val="0"/>
          <w:color w:val="auto"/>
          <w:sz w:val="21"/>
          <w:szCs w:val="21"/>
          <w:highlight w:val="none"/>
        </w:rPr>
      </w:pPr>
      <w:r>
        <w:rPr>
          <w:rFonts w:hint="eastAsia" w:ascii="宋体" w:hAnsi="宋体" w:eastAsia="宋体" w:cs="宋体"/>
          <w:color w:val="auto"/>
          <w:sz w:val="21"/>
          <w:szCs w:val="21"/>
          <w:highlight w:val="none"/>
        </w:rPr>
        <w:t>不同投标人的投标报价用同一个预算编制软件密码锁制作或者出自同一电子文档的；</w:t>
      </w:r>
    </w:p>
    <w:p w14:paraId="6137163C">
      <w:pPr>
        <w:pStyle w:val="11"/>
        <w:keepNext w:val="0"/>
        <w:keepLines w:val="0"/>
        <w:pageBreakBefore w:val="0"/>
        <w:widowControl w:val="0"/>
        <w:numPr>
          <w:ilvl w:val="0"/>
          <w:numId w:val="45"/>
        </w:numPr>
        <w:tabs>
          <w:tab w:val="left" w:pos="1200"/>
        </w:tabs>
        <w:kinsoku/>
        <w:wordWrap/>
        <w:overflowPunct/>
        <w:topLinePunct w:val="0"/>
        <w:autoSpaceDE/>
        <w:autoSpaceDN/>
        <w:bidi w:val="0"/>
        <w:adjustRightInd w:val="0"/>
        <w:snapToGrid w:val="0"/>
        <w:spacing w:after="0" w:line="460" w:lineRule="atLeast"/>
        <w:ind w:left="0" w:leftChars="0" w:firstLine="420" w:firstLineChars="200"/>
        <w:textAlignment w:val="auto"/>
        <w:rPr>
          <w:rFonts w:hint="eastAsia" w:ascii="宋体" w:hAnsi="宋体" w:eastAsia="宋体" w:cs="宋体"/>
          <w:b w:val="0"/>
          <w:color w:val="auto"/>
          <w:sz w:val="21"/>
          <w:szCs w:val="21"/>
          <w:highlight w:val="none"/>
        </w:rPr>
      </w:pPr>
      <w:r>
        <w:rPr>
          <w:rFonts w:hint="eastAsia" w:ascii="宋体" w:hAnsi="宋体" w:eastAsia="宋体" w:cs="宋体"/>
          <w:color w:val="auto"/>
          <w:sz w:val="21"/>
          <w:szCs w:val="21"/>
          <w:highlight w:val="none"/>
        </w:rPr>
        <w:t>不同投标人委托同一单位或者个人办理投标事宜；</w:t>
      </w:r>
    </w:p>
    <w:p w14:paraId="6CCA58A5">
      <w:pPr>
        <w:pStyle w:val="11"/>
        <w:keepNext w:val="0"/>
        <w:keepLines w:val="0"/>
        <w:pageBreakBefore w:val="0"/>
        <w:widowControl w:val="0"/>
        <w:numPr>
          <w:ilvl w:val="0"/>
          <w:numId w:val="45"/>
        </w:numPr>
        <w:tabs>
          <w:tab w:val="left" w:pos="1200"/>
        </w:tabs>
        <w:kinsoku/>
        <w:wordWrap/>
        <w:overflowPunct/>
        <w:topLinePunct w:val="0"/>
        <w:autoSpaceDE/>
        <w:autoSpaceDN/>
        <w:bidi w:val="0"/>
        <w:adjustRightInd w:val="0"/>
        <w:snapToGrid w:val="0"/>
        <w:spacing w:after="0" w:line="460" w:lineRule="atLeast"/>
        <w:ind w:left="0" w:leftChars="0" w:firstLine="420" w:firstLineChars="200"/>
        <w:textAlignment w:val="auto"/>
        <w:rPr>
          <w:rFonts w:hint="eastAsia" w:ascii="宋体" w:hAnsi="宋体" w:eastAsia="宋体" w:cs="宋体"/>
          <w:b w:val="0"/>
          <w:color w:val="auto"/>
          <w:sz w:val="21"/>
          <w:szCs w:val="21"/>
          <w:highlight w:val="none"/>
        </w:rPr>
      </w:pPr>
      <w:r>
        <w:rPr>
          <w:rFonts w:hint="eastAsia" w:ascii="宋体" w:hAnsi="宋体" w:eastAsia="宋体" w:cs="宋体"/>
          <w:color w:val="auto"/>
          <w:sz w:val="21"/>
          <w:szCs w:val="21"/>
          <w:highlight w:val="none"/>
        </w:rPr>
        <w:t>不同投标人的投标文件载明的项目管理成员为同一人或同一单位；</w:t>
      </w:r>
    </w:p>
    <w:p w14:paraId="2894B7A4">
      <w:pPr>
        <w:pStyle w:val="11"/>
        <w:keepNext w:val="0"/>
        <w:keepLines w:val="0"/>
        <w:pageBreakBefore w:val="0"/>
        <w:widowControl w:val="0"/>
        <w:numPr>
          <w:ilvl w:val="0"/>
          <w:numId w:val="45"/>
        </w:numPr>
        <w:tabs>
          <w:tab w:val="left" w:pos="1200"/>
        </w:tabs>
        <w:kinsoku/>
        <w:wordWrap/>
        <w:overflowPunct/>
        <w:topLinePunct w:val="0"/>
        <w:autoSpaceDE/>
        <w:autoSpaceDN/>
        <w:bidi w:val="0"/>
        <w:adjustRightInd w:val="0"/>
        <w:snapToGrid w:val="0"/>
        <w:spacing w:after="0" w:line="460" w:lineRule="atLeast"/>
        <w:ind w:left="0" w:leftChars="0" w:firstLine="420" w:firstLineChars="200"/>
        <w:textAlignment w:val="auto"/>
        <w:rPr>
          <w:rFonts w:hint="eastAsia" w:ascii="宋体" w:hAnsi="宋体" w:eastAsia="宋体" w:cs="宋体"/>
          <w:b w:val="0"/>
          <w:color w:val="auto"/>
          <w:sz w:val="21"/>
          <w:szCs w:val="21"/>
          <w:highlight w:val="none"/>
        </w:rPr>
      </w:pPr>
      <w:r>
        <w:rPr>
          <w:rFonts w:hint="eastAsia" w:ascii="宋体" w:hAnsi="宋体" w:eastAsia="宋体" w:cs="宋体"/>
          <w:color w:val="auto"/>
          <w:sz w:val="21"/>
          <w:szCs w:val="21"/>
          <w:highlight w:val="none"/>
        </w:rPr>
        <w:t>不同投标人的投标文件异常一致或者投标报价呈规律性差异；</w:t>
      </w:r>
    </w:p>
    <w:p w14:paraId="08892661">
      <w:pPr>
        <w:pStyle w:val="11"/>
        <w:keepNext w:val="0"/>
        <w:keepLines w:val="0"/>
        <w:pageBreakBefore w:val="0"/>
        <w:widowControl w:val="0"/>
        <w:numPr>
          <w:ilvl w:val="0"/>
          <w:numId w:val="45"/>
        </w:numPr>
        <w:tabs>
          <w:tab w:val="left" w:pos="1200"/>
        </w:tabs>
        <w:kinsoku/>
        <w:wordWrap/>
        <w:overflowPunct/>
        <w:topLinePunct w:val="0"/>
        <w:autoSpaceDE/>
        <w:autoSpaceDN/>
        <w:bidi w:val="0"/>
        <w:adjustRightInd w:val="0"/>
        <w:snapToGrid w:val="0"/>
        <w:spacing w:after="0" w:line="460" w:lineRule="atLeast"/>
        <w:ind w:left="0" w:leftChars="0" w:firstLine="420" w:firstLineChars="200"/>
        <w:textAlignment w:val="auto"/>
        <w:rPr>
          <w:rFonts w:hint="eastAsia" w:ascii="宋体" w:hAnsi="宋体" w:eastAsia="宋体" w:cs="宋体"/>
          <w:b w:val="0"/>
          <w:color w:val="auto"/>
          <w:sz w:val="21"/>
          <w:szCs w:val="21"/>
          <w:highlight w:val="none"/>
        </w:rPr>
      </w:pPr>
      <w:r>
        <w:rPr>
          <w:rFonts w:hint="eastAsia" w:ascii="宋体" w:hAnsi="宋体" w:eastAsia="宋体" w:cs="宋体"/>
          <w:color w:val="auto"/>
          <w:sz w:val="21"/>
          <w:szCs w:val="21"/>
          <w:highlight w:val="none"/>
        </w:rPr>
        <w:t>不同投标人的投标文件相互混装；</w:t>
      </w:r>
    </w:p>
    <w:p w14:paraId="225FFCF8">
      <w:pPr>
        <w:pStyle w:val="11"/>
        <w:keepNext w:val="0"/>
        <w:keepLines w:val="0"/>
        <w:pageBreakBefore w:val="0"/>
        <w:widowControl w:val="0"/>
        <w:numPr>
          <w:ilvl w:val="0"/>
          <w:numId w:val="45"/>
        </w:numPr>
        <w:tabs>
          <w:tab w:val="left" w:pos="1200"/>
        </w:tabs>
        <w:kinsoku/>
        <w:wordWrap/>
        <w:overflowPunct/>
        <w:topLinePunct w:val="0"/>
        <w:autoSpaceDE/>
        <w:autoSpaceDN/>
        <w:bidi w:val="0"/>
        <w:adjustRightInd w:val="0"/>
        <w:snapToGrid w:val="0"/>
        <w:spacing w:after="0" w:line="460" w:lineRule="atLeast"/>
        <w:ind w:left="0" w:leftChars="0" w:firstLine="420" w:firstLineChars="200"/>
        <w:textAlignment w:val="auto"/>
        <w:rPr>
          <w:rFonts w:hint="eastAsia" w:ascii="宋体" w:hAnsi="宋体" w:eastAsia="宋体" w:cs="宋体"/>
          <w:b w:val="0"/>
          <w:color w:val="auto"/>
          <w:sz w:val="21"/>
          <w:szCs w:val="21"/>
          <w:highlight w:val="none"/>
        </w:rPr>
      </w:pPr>
      <w:r>
        <w:rPr>
          <w:rFonts w:hint="eastAsia" w:ascii="宋体" w:hAnsi="宋体" w:eastAsia="宋体" w:cs="宋体"/>
          <w:color w:val="auto"/>
          <w:sz w:val="21"/>
          <w:szCs w:val="21"/>
          <w:highlight w:val="none"/>
        </w:rPr>
        <w:t>不同投标人的投标保证金从同一单位或者个人的账户转出，或者不同投标人的投标保证金虽然经由投标人自己的基本账户转出，但所需资金均是来自同一单位或者个人的账户的。</w:t>
      </w:r>
    </w:p>
    <w:p w14:paraId="3638031F">
      <w:pPr>
        <w:pStyle w:val="4"/>
        <w:keepNext w:val="0"/>
        <w:keepLines w:val="0"/>
        <w:pageBreakBefore w:val="0"/>
        <w:widowControl w:val="0"/>
        <w:numPr>
          <w:ilvl w:val="0"/>
          <w:numId w:val="40"/>
        </w:numPr>
        <w:tabs>
          <w:tab w:val="left" w:pos="1041"/>
          <w:tab w:val="clear" w:pos="210"/>
        </w:tabs>
        <w:kinsoku/>
        <w:wordWrap/>
        <w:overflowPunct/>
        <w:topLinePunct w:val="0"/>
        <w:autoSpaceDE/>
        <w:autoSpaceDN/>
        <w:bidi w:val="0"/>
        <w:adjustRightInd w:val="0"/>
        <w:snapToGrid w:val="0"/>
        <w:spacing w:after="0" w:line="460" w:lineRule="atLeast"/>
        <w:ind w:left="0" w:leftChars="0" w:firstLine="420" w:firstLineChars="200"/>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投标人有下列情形之一的，属于投标人弄虚作假骗取中标的行为：</w:t>
      </w:r>
    </w:p>
    <w:p w14:paraId="3D3791EA">
      <w:pPr>
        <w:pStyle w:val="11"/>
        <w:keepNext w:val="0"/>
        <w:keepLines w:val="0"/>
        <w:pageBreakBefore w:val="0"/>
        <w:widowControl w:val="0"/>
        <w:numPr>
          <w:ilvl w:val="0"/>
          <w:numId w:val="47"/>
        </w:numPr>
        <w:tabs>
          <w:tab w:val="left" w:pos="1200"/>
        </w:tabs>
        <w:kinsoku/>
        <w:wordWrap/>
        <w:overflowPunct/>
        <w:topLinePunct w:val="0"/>
        <w:autoSpaceDE/>
        <w:autoSpaceDN/>
        <w:bidi w:val="0"/>
        <w:adjustRightInd w:val="0"/>
        <w:snapToGrid w:val="0"/>
        <w:spacing w:after="0" w:line="460" w:lineRule="atLeast"/>
        <w:ind w:left="0" w:leftChars="0" w:firstLine="420" w:firstLineChars="200"/>
        <w:textAlignment w:val="auto"/>
        <w:rPr>
          <w:rFonts w:hint="eastAsia" w:ascii="宋体" w:hAnsi="宋体" w:eastAsia="宋体" w:cs="宋体"/>
          <w:b w:val="0"/>
          <w:color w:val="auto"/>
          <w:sz w:val="21"/>
          <w:szCs w:val="21"/>
          <w:highlight w:val="none"/>
        </w:rPr>
      </w:pPr>
      <w:r>
        <w:rPr>
          <w:rFonts w:hint="eastAsia" w:ascii="宋体" w:hAnsi="宋体" w:eastAsia="宋体" w:cs="宋体"/>
          <w:color w:val="auto"/>
          <w:sz w:val="21"/>
          <w:szCs w:val="21"/>
          <w:highlight w:val="none"/>
        </w:rPr>
        <w:t>以他人名义投标的。具体情形包括：</w:t>
      </w:r>
    </w:p>
    <w:p w14:paraId="663E6FFC">
      <w:pPr>
        <w:pStyle w:val="11"/>
        <w:keepNext w:val="0"/>
        <w:keepLines w:val="0"/>
        <w:pageBreakBefore w:val="0"/>
        <w:widowControl w:val="0"/>
        <w:numPr>
          <w:ilvl w:val="0"/>
          <w:numId w:val="48"/>
        </w:numPr>
        <w:tabs>
          <w:tab w:val="left" w:pos="840"/>
        </w:tabs>
        <w:kinsoku/>
        <w:wordWrap/>
        <w:overflowPunct/>
        <w:topLinePunct w:val="0"/>
        <w:autoSpaceDE/>
        <w:autoSpaceDN/>
        <w:bidi w:val="0"/>
        <w:adjustRightInd w:val="0"/>
        <w:snapToGrid w:val="0"/>
        <w:spacing w:after="0" w:line="460" w:lineRule="atLeast"/>
        <w:ind w:left="0" w:leftChars="0" w:firstLine="420" w:firstLineChars="200"/>
        <w:textAlignment w:val="auto"/>
        <w:rPr>
          <w:rFonts w:hint="eastAsia" w:ascii="宋体" w:hAnsi="宋体" w:eastAsia="宋体" w:cs="宋体"/>
          <w:b w:val="0"/>
          <w:color w:val="auto"/>
          <w:sz w:val="21"/>
          <w:szCs w:val="21"/>
          <w:highlight w:val="none"/>
        </w:rPr>
      </w:pPr>
      <w:r>
        <w:rPr>
          <w:rFonts w:hint="eastAsia" w:ascii="宋体" w:hAnsi="宋体" w:eastAsia="宋体" w:cs="宋体"/>
          <w:color w:val="auto"/>
          <w:sz w:val="21"/>
          <w:szCs w:val="21"/>
          <w:highlight w:val="none"/>
        </w:rPr>
        <w:t>通过受让或者租借等方式从其他单位获取资格或者资质证书参加投标的；</w:t>
      </w:r>
    </w:p>
    <w:p w14:paraId="213DA318">
      <w:pPr>
        <w:pStyle w:val="11"/>
        <w:keepNext w:val="0"/>
        <w:keepLines w:val="0"/>
        <w:pageBreakBefore w:val="0"/>
        <w:widowControl w:val="0"/>
        <w:numPr>
          <w:ilvl w:val="0"/>
          <w:numId w:val="48"/>
        </w:numPr>
        <w:tabs>
          <w:tab w:val="left" w:pos="840"/>
        </w:tabs>
        <w:kinsoku/>
        <w:wordWrap/>
        <w:overflowPunct/>
        <w:topLinePunct w:val="0"/>
        <w:autoSpaceDE/>
        <w:autoSpaceDN/>
        <w:bidi w:val="0"/>
        <w:adjustRightInd w:val="0"/>
        <w:snapToGrid w:val="0"/>
        <w:spacing w:after="0" w:line="460" w:lineRule="atLeast"/>
        <w:ind w:left="0" w:leftChars="0" w:firstLine="420" w:firstLineChars="200"/>
        <w:textAlignment w:val="auto"/>
        <w:rPr>
          <w:rFonts w:hint="eastAsia" w:ascii="宋体" w:hAnsi="宋体" w:eastAsia="宋体" w:cs="宋体"/>
          <w:b w:val="0"/>
          <w:color w:val="auto"/>
          <w:sz w:val="21"/>
          <w:szCs w:val="21"/>
          <w:highlight w:val="none"/>
        </w:rPr>
      </w:pPr>
      <w:r>
        <w:rPr>
          <w:rFonts w:hint="eastAsia" w:ascii="宋体" w:hAnsi="宋体" w:eastAsia="宋体" w:cs="宋体"/>
          <w:color w:val="auto"/>
          <w:sz w:val="21"/>
          <w:szCs w:val="21"/>
          <w:highlight w:val="none"/>
        </w:rPr>
        <w:t>由其他单位或者其他单位负责人在自己编制的投标文件上加盖印章或者签字的；</w:t>
      </w:r>
    </w:p>
    <w:p w14:paraId="0A0E4C7B">
      <w:pPr>
        <w:pStyle w:val="11"/>
        <w:keepNext w:val="0"/>
        <w:keepLines w:val="0"/>
        <w:pageBreakBefore w:val="0"/>
        <w:widowControl w:val="0"/>
        <w:numPr>
          <w:ilvl w:val="0"/>
          <w:numId w:val="48"/>
        </w:numPr>
        <w:tabs>
          <w:tab w:val="left" w:pos="840"/>
        </w:tabs>
        <w:kinsoku/>
        <w:wordWrap/>
        <w:overflowPunct/>
        <w:topLinePunct w:val="0"/>
        <w:autoSpaceDE/>
        <w:autoSpaceDN/>
        <w:bidi w:val="0"/>
        <w:adjustRightInd w:val="0"/>
        <w:snapToGrid w:val="0"/>
        <w:spacing w:after="0" w:line="460" w:lineRule="atLeast"/>
        <w:ind w:left="0" w:leftChars="0" w:firstLine="420" w:firstLineChars="200"/>
        <w:textAlignment w:val="auto"/>
        <w:rPr>
          <w:rFonts w:hint="eastAsia" w:ascii="宋体" w:hAnsi="宋体" w:eastAsia="宋体" w:cs="宋体"/>
          <w:b w:val="0"/>
          <w:color w:val="auto"/>
          <w:sz w:val="21"/>
          <w:szCs w:val="21"/>
          <w:highlight w:val="none"/>
        </w:rPr>
      </w:pPr>
      <w:r>
        <w:rPr>
          <w:rFonts w:hint="eastAsia" w:ascii="宋体" w:hAnsi="宋体" w:eastAsia="宋体" w:cs="宋体"/>
          <w:color w:val="auto"/>
          <w:sz w:val="21"/>
          <w:szCs w:val="21"/>
          <w:highlight w:val="none"/>
        </w:rPr>
        <w:t>项目负责人或者主要技术人员不是本单位人员的；</w:t>
      </w:r>
    </w:p>
    <w:p w14:paraId="539A863E">
      <w:pPr>
        <w:pStyle w:val="11"/>
        <w:keepNext w:val="0"/>
        <w:keepLines w:val="0"/>
        <w:pageBreakBefore w:val="0"/>
        <w:widowControl w:val="0"/>
        <w:numPr>
          <w:ilvl w:val="0"/>
          <w:numId w:val="48"/>
        </w:numPr>
        <w:tabs>
          <w:tab w:val="left" w:pos="840"/>
        </w:tabs>
        <w:kinsoku/>
        <w:wordWrap/>
        <w:overflowPunct/>
        <w:topLinePunct w:val="0"/>
        <w:autoSpaceDE/>
        <w:autoSpaceDN/>
        <w:bidi w:val="0"/>
        <w:adjustRightInd w:val="0"/>
        <w:snapToGrid w:val="0"/>
        <w:spacing w:after="0" w:line="460" w:lineRule="atLeast"/>
        <w:ind w:left="0" w:leftChars="0" w:firstLine="420" w:firstLineChars="200"/>
        <w:textAlignment w:val="auto"/>
        <w:rPr>
          <w:rFonts w:hint="eastAsia" w:ascii="宋体" w:hAnsi="宋体" w:eastAsia="宋体" w:cs="宋体"/>
          <w:b w:val="0"/>
          <w:color w:val="auto"/>
          <w:sz w:val="21"/>
          <w:szCs w:val="21"/>
          <w:highlight w:val="none"/>
        </w:rPr>
      </w:pPr>
      <w:r>
        <w:rPr>
          <w:rFonts w:hint="eastAsia" w:ascii="宋体" w:hAnsi="宋体" w:eastAsia="宋体" w:cs="宋体"/>
          <w:color w:val="auto"/>
          <w:sz w:val="21"/>
          <w:szCs w:val="21"/>
          <w:highlight w:val="none"/>
        </w:rPr>
        <w:t>投标保证金不是从投标人的账户缴纳的；</w:t>
      </w:r>
    </w:p>
    <w:p w14:paraId="3447367E">
      <w:pPr>
        <w:pStyle w:val="11"/>
        <w:keepNext w:val="0"/>
        <w:keepLines w:val="0"/>
        <w:pageBreakBefore w:val="0"/>
        <w:widowControl w:val="0"/>
        <w:numPr>
          <w:ilvl w:val="0"/>
          <w:numId w:val="48"/>
        </w:numPr>
        <w:tabs>
          <w:tab w:val="left" w:pos="840"/>
        </w:tabs>
        <w:kinsoku/>
        <w:wordWrap/>
        <w:overflowPunct/>
        <w:topLinePunct w:val="0"/>
        <w:autoSpaceDE/>
        <w:autoSpaceDN/>
        <w:bidi w:val="0"/>
        <w:adjustRightInd w:val="0"/>
        <w:snapToGrid w:val="0"/>
        <w:spacing w:after="0" w:line="460" w:lineRule="atLeast"/>
        <w:ind w:left="0" w:leftChars="0" w:firstLine="420" w:firstLineChars="200"/>
        <w:textAlignment w:val="auto"/>
        <w:rPr>
          <w:rFonts w:hint="eastAsia" w:ascii="宋体" w:hAnsi="宋体" w:eastAsia="宋体" w:cs="宋体"/>
          <w:b w:val="0"/>
          <w:color w:val="auto"/>
          <w:sz w:val="21"/>
          <w:szCs w:val="21"/>
          <w:highlight w:val="none"/>
        </w:rPr>
      </w:pPr>
      <w:r>
        <w:rPr>
          <w:rFonts w:hint="eastAsia" w:ascii="宋体" w:hAnsi="宋体" w:eastAsia="宋体" w:cs="宋体"/>
          <w:color w:val="auto"/>
          <w:sz w:val="21"/>
          <w:szCs w:val="21"/>
          <w:highlight w:val="none"/>
        </w:rPr>
        <w:t>法律、法规、规章规定的以他人名义投标的其他行为。</w:t>
      </w:r>
    </w:p>
    <w:p w14:paraId="5DE2C910">
      <w:pPr>
        <w:pStyle w:val="11"/>
        <w:keepNext w:val="0"/>
        <w:keepLines w:val="0"/>
        <w:pageBreakBefore w:val="0"/>
        <w:widowControl w:val="0"/>
        <w:numPr>
          <w:ilvl w:val="0"/>
          <w:numId w:val="47"/>
        </w:numPr>
        <w:tabs>
          <w:tab w:val="left" w:pos="1200"/>
        </w:tabs>
        <w:kinsoku/>
        <w:wordWrap/>
        <w:overflowPunct/>
        <w:topLinePunct w:val="0"/>
        <w:autoSpaceDE/>
        <w:autoSpaceDN/>
        <w:bidi w:val="0"/>
        <w:adjustRightInd w:val="0"/>
        <w:snapToGrid w:val="0"/>
        <w:spacing w:after="0" w:line="460" w:lineRule="atLeast"/>
        <w:ind w:left="0" w:leftChars="0" w:firstLine="420" w:firstLineChars="200"/>
        <w:textAlignment w:val="auto"/>
        <w:rPr>
          <w:rFonts w:hint="eastAsia" w:ascii="宋体" w:hAnsi="宋体" w:eastAsia="宋体" w:cs="宋体"/>
          <w:b w:val="0"/>
          <w:color w:val="auto"/>
          <w:sz w:val="21"/>
          <w:szCs w:val="21"/>
          <w:highlight w:val="none"/>
        </w:rPr>
      </w:pPr>
      <w:r>
        <w:rPr>
          <w:rFonts w:hint="eastAsia" w:ascii="宋体" w:hAnsi="宋体" w:eastAsia="宋体" w:cs="宋体"/>
          <w:color w:val="auto"/>
          <w:sz w:val="21"/>
          <w:szCs w:val="21"/>
          <w:highlight w:val="none"/>
        </w:rPr>
        <w:t>以其他方式弄虚作假的。具体情形包括：</w:t>
      </w:r>
    </w:p>
    <w:p w14:paraId="75FFC39B">
      <w:pPr>
        <w:pStyle w:val="11"/>
        <w:keepNext w:val="0"/>
        <w:keepLines w:val="0"/>
        <w:pageBreakBefore w:val="0"/>
        <w:widowControl w:val="0"/>
        <w:numPr>
          <w:ilvl w:val="0"/>
          <w:numId w:val="49"/>
        </w:numPr>
        <w:tabs>
          <w:tab w:val="left" w:pos="840"/>
        </w:tabs>
        <w:kinsoku/>
        <w:wordWrap/>
        <w:overflowPunct/>
        <w:topLinePunct w:val="0"/>
        <w:autoSpaceDE/>
        <w:autoSpaceDN/>
        <w:bidi w:val="0"/>
        <w:adjustRightInd w:val="0"/>
        <w:snapToGrid w:val="0"/>
        <w:spacing w:after="0" w:line="460" w:lineRule="atLeast"/>
        <w:ind w:left="0" w:leftChars="0" w:firstLine="420" w:firstLineChars="200"/>
        <w:textAlignment w:val="auto"/>
        <w:rPr>
          <w:rFonts w:hint="eastAsia" w:ascii="宋体" w:hAnsi="宋体" w:eastAsia="宋体" w:cs="宋体"/>
          <w:b w:val="0"/>
          <w:color w:val="auto"/>
          <w:sz w:val="21"/>
          <w:szCs w:val="21"/>
          <w:highlight w:val="none"/>
        </w:rPr>
      </w:pPr>
      <w:r>
        <w:rPr>
          <w:rFonts w:hint="eastAsia" w:ascii="宋体" w:hAnsi="宋体" w:eastAsia="宋体" w:cs="宋体"/>
          <w:color w:val="auto"/>
          <w:sz w:val="21"/>
          <w:szCs w:val="21"/>
          <w:highlight w:val="none"/>
        </w:rPr>
        <w:t>使用伪造、变造的许可证件；</w:t>
      </w:r>
    </w:p>
    <w:p w14:paraId="0DB54A40">
      <w:pPr>
        <w:pStyle w:val="11"/>
        <w:keepNext w:val="0"/>
        <w:keepLines w:val="0"/>
        <w:pageBreakBefore w:val="0"/>
        <w:widowControl w:val="0"/>
        <w:numPr>
          <w:ilvl w:val="0"/>
          <w:numId w:val="49"/>
        </w:numPr>
        <w:tabs>
          <w:tab w:val="left" w:pos="840"/>
        </w:tabs>
        <w:kinsoku/>
        <w:wordWrap/>
        <w:overflowPunct/>
        <w:topLinePunct w:val="0"/>
        <w:autoSpaceDE/>
        <w:autoSpaceDN/>
        <w:bidi w:val="0"/>
        <w:adjustRightInd w:val="0"/>
        <w:snapToGrid w:val="0"/>
        <w:spacing w:after="0" w:line="460" w:lineRule="atLeast"/>
        <w:ind w:left="0" w:leftChars="0" w:firstLine="420" w:firstLineChars="200"/>
        <w:textAlignment w:val="auto"/>
        <w:rPr>
          <w:rFonts w:hint="eastAsia" w:ascii="宋体" w:hAnsi="宋体" w:eastAsia="宋体" w:cs="宋体"/>
          <w:b w:val="0"/>
          <w:color w:val="auto"/>
          <w:sz w:val="21"/>
          <w:szCs w:val="21"/>
          <w:highlight w:val="none"/>
        </w:rPr>
      </w:pPr>
      <w:r>
        <w:rPr>
          <w:rFonts w:hint="eastAsia" w:ascii="宋体" w:hAnsi="宋体" w:eastAsia="宋体" w:cs="宋体"/>
          <w:color w:val="auto"/>
          <w:sz w:val="21"/>
          <w:szCs w:val="21"/>
          <w:highlight w:val="none"/>
        </w:rPr>
        <w:t>提供虚假的财务状况或者业绩；</w:t>
      </w:r>
    </w:p>
    <w:p w14:paraId="03D5432C">
      <w:pPr>
        <w:pStyle w:val="11"/>
        <w:keepNext w:val="0"/>
        <w:keepLines w:val="0"/>
        <w:pageBreakBefore w:val="0"/>
        <w:widowControl w:val="0"/>
        <w:numPr>
          <w:ilvl w:val="0"/>
          <w:numId w:val="49"/>
        </w:numPr>
        <w:tabs>
          <w:tab w:val="left" w:pos="840"/>
        </w:tabs>
        <w:kinsoku/>
        <w:wordWrap/>
        <w:overflowPunct/>
        <w:topLinePunct w:val="0"/>
        <w:autoSpaceDE/>
        <w:autoSpaceDN/>
        <w:bidi w:val="0"/>
        <w:adjustRightInd w:val="0"/>
        <w:snapToGrid w:val="0"/>
        <w:spacing w:after="0" w:line="460" w:lineRule="atLeast"/>
        <w:ind w:left="0" w:leftChars="0" w:firstLine="420" w:firstLineChars="200"/>
        <w:textAlignment w:val="auto"/>
        <w:rPr>
          <w:rFonts w:hint="eastAsia" w:ascii="宋体" w:hAnsi="宋体" w:eastAsia="宋体" w:cs="宋体"/>
          <w:b w:val="0"/>
          <w:color w:val="auto"/>
          <w:sz w:val="21"/>
          <w:szCs w:val="21"/>
          <w:highlight w:val="none"/>
        </w:rPr>
      </w:pPr>
      <w:r>
        <w:rPr>
          <w:rFonts w:hint="eastAsia" w:ascii="宋体" w:hAnsi="宋体" w:eastAsia="宋体" w:cs="宋体"/>
          <w:color w:val="auto"/>
          <w:sz w:val="21"/>
          <w:szCs w:val="21"/>
          <w:highlight w:val="none"/>
        </w:rPr>
        <w:t>提供虚假的项目负责人或者主要技术人员简历、劳动关系证明；</w:t>
      </w:r>
    </w:p>
    <w:p w14:paraId="56BDCAB5">
      <w:pPr>
        <w:pStyle w:val="11"/>
        <w:keepNext w:val="0"/>
        <w:keepLines w:val="0"/>
        <w:pageBreakBefore w:val="0"/>
        <w:widowControl w:val="0"/>
        <w:numPr>
          <w:ilvl w:val="0"/>
          <w:numId w:val="49"/>
        </w:numPr>
        <w:tabs>
          <w:tab w:val="left" w:pos="840"/>
        </w:tabs>
        <w:kinsoku/>
        <w:wordWrap/>
        <w:overflowPunct/>
        <w:topLinePunct w:val="0"/>
        <w:autoSpaceDE/>
        <w:autoSpaceDN/>
        <w:bidi w:val="0"/>
        <w:adjustRightInd w:val="0"/>
        <w:snapToGrid w:val="0"/>
        <w:spacing w:after="0" w:line="460" w:lineRule="atLeast"/>
        <w:ind w:left="0" w:leftChars="0" w:firstLine="420" w:firstLineChars="200"/>
        <w:textAlignment w:val="auto"/>
        <w:rPr>
          <w:rFonts w:hint="eastAsia" w:ascii="宋体" w:hAnsi="宋体" w:eastAsia="宋体" w:cs="宋体"/>
          <w:b w:val="0"/>
          <w:color w:val="auto"/>
          <w:sz w:val="21"/>
          <w:szCs w:val="21"/>
          <w:highlight w:val="none"/>
        </w:rPr>
      </w:pPr>
      <w:r>
        <w:rPr>
          <w:rFonts w:hint="eastAsia" w:ascii="宋体" w:hAnsi="宋体" w:eastAsia="宋体" w:cs="宋体"/>
          <w:color w:val="auto"/>
          <w:sz w:val="21"/>
          <w:szCs w:val="21"/>
          <w:highlight w:val="none"/>
        </w:rPr>
        <w:t>提供虚假的信用状况；</w:t>
      </w:r>
    </w:p>
    <w:p w14:paraId="6CB605D8">
      <w:pPr>
        <w:pStyle w:val="11"/>
        <w:keepNext w:val="0"/>
        <w:keepLines w:val="0"/>
        <w:pageBreakBefore w:val="0"/>
        <w:widowControl w:val="0"/>
        <w:numPr>
          <w:ilvl w:val="0"/>
          <w:numId w:val="49"/>
        </w:numPr>
        <w:tabs>
          <w:tab w:val="left" w:pos="840"/>
        </w:tabs>
        <w:kinsoku/>
        <w:wordWrap/>
        <w:overflowPunct/>
        <w:topLinePunct w:val="0"/>
        <w:autoSpaceDE/>
        <w:autoSpaceDN/>
        <w:bidi w:val="0"/>
        <w:adjustRightInd w:val="0"/>
        <w:snapToGrid w:val="0"/>
        <w:spacing w:after="0" w:line="460" w:lineRule="atLeast"/>
        <w:ind w:left="0" w:leftChars="0" w:firstLine="420" w:firstLineChars="200"/>
        <w:textAlignment w:val="auto"/>
        <w:rPr>
          <w:rFonts w:hint="eastAsia" w:ascii="宋体" w:hAnsi="宋体" w:eastAsia="宋体" w:cs="宋体"/>
          <w:b w:val="0"/>
          <w:color w:val="auto"/>
          <w:sz w:val="21"/>
          <w:szCs w:val="21"/>
          <w:highlight w:val="none"/>
        </w:rPr>
      </w:pPr>
      <w:r>
        <w:rPr>
          <w:rFonts w:hint="eastAsia" w:ascii="宋体" w:hAnsi="宋体" w:eastAsia="宋体" w:cs="宋体"/>
          <w:color w:val="auto"/>
          <w:sz w:val="21"/>
          <w:szCs w:val="21"/>
          <w:highlight w:val="none"/>
        </w:rPr>
        <w:t>投标文件中有与事实不符的承诺材料；</w:t>
      </w:r>
    </w:p>
    <w:p w14:paraId="266614EC">
      <w:pPr>
        <w:pStyle w:val="11"/>
        <w:keepNext w:val="0"/>
        <w:keepLines w:val="0"/>
        <w:pageBreakBefore w:val="0"/>
        <w:widowControl w:val="0"/>
        <w:numPr>
          <w:ilvl w:val="0"/>
          <w:numId w:val="49"/>
        </w:numPr>
        <w:tabs>
          <w:tab w:val="left" w:pos="840"/>
        </w:tabs>
        <w:kinsoku/>
        <w:wordWrap/>
        <w:overflowPunct/>
        <w:topLinePunct w:val="0"/>
        <w:autoSpaceDE/>
        <w:autoSpaceDN/>
        <w:bidi w:val="0"/>
        <w:adjustRightInd w:val="0"/>
        <w:snapToGrid w:val="0"/>
        <w:spacing w:after="0" w:line="460" w:lineRule="atLeast"/>
        <w:ind w:left="0" w:leftChars="0" w:firstLine="420" w:firstLineChars="200"/>
        <w:textAlignment w:val="auto"/>
        <w:rPr>
          <w:rFonts w:hint="eastAsia" w:ascii="宋体" w:hAnsi="宋体" w:eastAsia="宋体" w:cs="宋体"/>
          <w:b w:val="0"/>
          <w:color w:val="auto"/>
          <w:sz w:val="21"/>
          <w:szCs w:val="21"/>
          <w:highlight w:val="none"/>
        </w:rPr>
      </w:pPr>
      <w:r>
        <w:rPr>
          <w:rFonts w:hint="eastAsia" w:ascii="宋体" w:hAnsi="宋体" w:eastAsia="宋体" w:cs="宋体"/>
          <w:color w:val="auto"/>
          <w:sz w:val="21"/>
          <w:szCs w:val="21"/>
          <w:highlight w:val="none"/>
        </w:rPr>
        <w:t>隐瞒招标文件要求提供的信息，或者提供虚假、引人误解的其他信息；</w:t>
      </w:r>
    </w:p>
    <w:p w14:paraId="2F139D7D">
      <w:pPr>
        <w:pStyle w:val="11"/>
        <w:keepNext w:val="0"/>
        <w:keepLines w:val="0"/>
        <w:pageBreakBefore w:val="0"/>
        <w:widowControl w:val="0"/>
        <w:numPr>
          <w:ilvl w:val="0"/>
          <w:numId w:val="49"/>
        </w:numPr>
        <w:tabs>
          <w:tab w:val="left" w:pos="840"/>
        </w:tabs>
        <w:kinsoku/>
        <w:wordWrap/>
        <w:overflowPunct/>
        <w:topLinePunct w:val="0"/>
        <w:autoSpaceDE/>
        <w:autoSpaceDN/>
        <w:bidi w:val="0"/>
        <w:adjustRightInd w:val="0"/>
        <w:snapToGrid w:val="0"/>
        <w:spacing w:after="0" w:line="460" w:lineRule="atLeast"/>
        <w:ind w:left="0" w:leftChars="0" w:firstLine="420" w:firstLineChars="200"/>
        <w:textAlignment w:val="auto"/>
        <w:rPr>
          <w:rFonts w:hint="eastAsia" w:ascii="宋体" w:hAnsi="宋体" w:eastAsia="宋体" w:cs="宋体"/>
          <w:b w:val="0"/>
          <w:color w:val="auto"/>
          <w:sz w:val="21"/>
          <w:szCs w:val="21"/>
          <w:highlight w:val="none"/>
        </w:rPr>
      </w:pPr>
      <w:r>
        <w:rPr>
          <w:rFonts w:hint="eastAsia" w:ascii="宋体" w:hAnsi="宋体" w:eastAsia="宋体" w:cs="宋体"/>
          <w:color w:val="auto"/>
          <w:sz w:val="21"/>
          <w:szCs w:val="21"/>
          <w:highlight w:val="none"/>
        </w:rPr>
        <w:t>法律、法规、规章规定的弄虚作假的其他行为。</w:t>
      </w:r>
    </w:p>
    <w:p w14:paraId="3501CE2C">
      <w:pPr>
        <w:pStyle w:val="11"/>
        <w:keepNext w:val="0"/>
        <w:keepLines w:val="0"/>
        <w:pageBreakBefore w:val="0"/>
        <w:widowControl w:val="0"/>
        <w:kinsoku/>
        <w:wordWrap/>
        <w:overflowPunct/>
        <w:topLinePunct w:val="0"/>
        <w:autoSpaceDE/>
        <w:autoSpaceDN/>
        <w:bidi w:val="0"/>
        <w:adjustRightInd w:val="0"/>
        <w:snapToGrid w:val="0"/>
        <w:spacing w:after="0" w:line="460" w:lineRule="atLeast"/>
        <w:ind w:left="0" w:leftChars="0" w:firstLine="422" w:firstLineChars="200"/>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评标委员会在评标时，发现有6.5条款行为的，应当否决其投标，并向有关行政监督部门报告。招标人和投标人存在串通投标行为的，招标无效，应当依法重新招标；招标代理机构有串通投标行为的，招标人应取消其对该项目的招标代理资格，重新选择招标代理机构后重新招标；投标人有串通投标行为或者弄虚作假行为的，其投标无效，已经中标的，中标无效；因投标人串标投标或者弄虚作假行为导致重新招标的，在重新招标时不得再参加本项目投标。</w:t>
      </w:r>
    </w:p>
    <w:p w14:paraId="7B499157">
      <w:pPr>
        <w:pStyle w:val="11"/>
        <w:keepNext w:val="0"/>
        <w:keepLines w:val="0"/>
        <w:pageBreakBefore w:val="0"/>
        <w:widowControl w:val="0"/>
        <w:kinsoku/>
        <w:wordWrap/>
        <w:overflowPunct/>
        <w:topLinePunct w:val="0"/>
        <w:autoSpaceDE/>
        <w:autoSpaceDN/>
        <w:bidi w:val="0"/>
        <w:adjustRightInd w:val="0"/>
        <w:snapToGrid w:val="0"/>
        <w:spacing w:after="0" w:line="460" w:lineRule="atLeast"/>
        <w:ind w:left="0" w:leftChars="0" w:firstLine="422" w:firstLineChars="200"/>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若投标人被评标委员会以上述6.5条款否决投标的，自否决投标认定之日起至行政处罚意见作出之日止不得参与本项目投标。</w:t>
      </w:r>
    </w:p>
    <w:p w14:paraId="14017D69">
      <w:pPr>
        <w:pStyle w:val="3"/>
        <w:keepNext w:val="0"/>
        <w:keepLines w:val="0"/>
        <w:pageBreakBefore w:val="0"/>
        <w:widowControl w:val="0"/>
        <w:numPr>
          <w:ilvl w:val="0"/>
          <w:numId w:val="35"/>
        </w:numPr>
        <w:tabs>
          <w:tab w:val="left" w:pos="861"/>
          <w:tab w:val="clear" w:pos="210"/>
        </w:tabs>
        <w:kinsoku/>
        <w:wordWrap/>
        <w:overflowPunct/>
        <w:topLinePunct w:val="0"/>
        <w:autoSpaceDE/>
        <w:autoSpaceDN/>
        <w:bidi w:val="0"/>
        <w:adjustRightInd w:val="0"/>
        <w:snapToGrid w:val="0"/>
        <w:spacing w:after="0" w:line="460" w:lineRule="atLeast"/>
        <w:ind w:left="0" w:leftChars="0" w:firstLine="422" w:firstLineChars="200"/>
        <w:textAlignment w:val="auto"/>
        <w:rPr>
          <w:rFonts w:hint="eastAsia" w:ascii="宋体" w:hAnsi="宋体" w:eastAsia="宋体" w:cs="宋体"/>
          <w:b/>
          <w:color w:val="auto"/>
          <w:sz w:val="21"/>
          <w:szCs w:val="21"/>
          <w:highlight w:val="none"/>
        </w:rPr>
      </w:pPr>
      <w:r>
        <w:rPr>
          <w:rFonts w:hint="eastAsia" w:ascii="宋体" w:hAnsi="宋体" w:eastAsia="宋体" w:cs="宋体"/>
          <w:color w:val="auto"/>
          <w:sz w:val="21"/>
          <w:szCs w:val="21"/>
          <w:highlight w:val="none"/>
        </w:rPr>
        <w:t>投标文件的澄清</w:t>
      </w:r>
    </w:p>
    <w:p w14:paraId="421D5891">
      <w:pPr>
        <w:pStyle w:val="11"/>
        <w:keepNext w:val="0"/>
        <w:keepLines w:val="0"/>
        <w:pageBreakBefore w:val="0"/>
        <w:widowControl w:val="0"/>
        <w:numPr>
          <w:ilvl w:val="0"/>
          <w:numId w:val="50"/>
        </w:numPr>
        <w:tabs>
          <w:tab w:val="left" w:pos="1080"/>
          <w:tab w:val="clear" w:pos="210"/>
        </w:tabs>
        <w:kinsoku/>
        <w:wordWrap/>
        <w:overflowPunct/>
        <w:topLinePunct w:val="0"/>
        <w:autoSpaceDE/>
        <w:autoSpaceDN/>
        <w:bidi w:val="0"/>
        <w:adjustRightInd w:val="0"/>
        <w:snapToGrid w:val="0"/>
        <w:spacing w:after="0" w:line="460" w:lineRule="atLeast"/>
        <w:ind w:left="0" w:leftChars="0" w:firstLine="420" w:firstLineChars="200"/>
        <w:textAlignment w:val="auto"/>
        <w:rPr>
          <w:rFonts w:hint="eastAsia" w:ascii="宋体" w:hAnsi="宋体" w:eastAsia="宋体" w:cs="宋体"/>
          <w:b w:val="0"/>
          <w:color w:val="auto"/>
          <w:sz w:val="21"/>
          <w:szCs w:val="21"/>
          <w:highlight w:val="none"/>
        </w:rPr>
      </w:pPr>
      <w:r>
        <w:rPr>
          <w:rFonts w:hint="eastAsia" w:ascii="宋体" w:hAnsi="宋体" w:eastAsia="宋体" w:cs="宋体"/>
          <w:color w:val="auto"/>
          <w:sz w:val="21"/>
          <w:szCs w:val="21"/>
          <w:highlight w:val="none"/>
        </w:rPr>
        <w:t>在评标过程中，评标委员会认为需要，可要求投标人对投标文件中有关问题进行澄清或提供补充说明及有关资料，投标人应做出书面答复，但书面答复中不得变更投标文件的实质性内容。</w:t>
      </w:r>
    </w:p>
    <w:p w14:paraId="453C79E0">
      <w:pPr>
        <w:pStyle w:val="11"/>
        <w:keepNext w:val="0"/>
        <w:keepLines w:val="0"/>
        <w:pageBreakBefore w:val="0"/>
        <w:widowControl w:val="0"/>
        <w:numPr>
          <w:ilvl w:val="0"/>
          <w:numId w:val="50"/>
        </w:numPr>
        <w:tabs>
          <w:tab w:val="left" w:pos="1080"/>
          <w:tab w:val="clear" w:pos="210"/>
        </w:tabs>
        <w:kinsoku/>
        <w:wordWrap/>
        <w:overflowPunct/>
        <w:topLinePunct w:val="0"/>
        <w:autoSpaceDE/>
        <w:autoSpaceDN/>
        <w:bidi w:val="0"/>
        <w:adjustRightInd w:val="0"/>
        <w:snapToGrid w:val="0"/>
        <w:spacing w:after="0" w:line="460" w:lineRule="atLeast"/>
        <w:ind w:left="0" w:leftChars="0" w:firstLine="420" w:firstLineChars="200"/>
        <w:textAlignment w:val="auto"/>
        <w:rPr>
          <w:rFonts w:hint="eastAsia" w:ascii="宋体" w:hAnsi="宋体" w:eastAsia="宋体" w:cs="宋体"/>
          <w:b w:val="0"/>
          <w:color w:val="auto"/>
          <w:sz w:val="21"/>
          <w:szCs w:val="21"/>
          <w:highlight w:val="none"/>
        </w:rPr>
      </w:pPr>
      <w:r>
        <w:rPr>
          <w:rFonts w:hint="eastAsia" w:ascii="宋体" w:hAnsi="宋体" w:eastAsia="宋体" w:cs="宋体"/>
          <w:color w:val="auto"/>
          <w:sz w:val="21"/>
          <w:szCs w:val="21"/>
          <w:highlight w:val="none"/>
        </w:rPr>
        <w:t>书面答复须经投标人法定代表人或其代理人的签署或加盖印章，签署或加盖印章的书面答复将视为投标文件的组成部分。投标截止时间后，投标人对投标报价或其他实质性内容修正的函件和增加的任何优惠条件，一律不得作为评标、定标的依据。</w:t>
      </w:r>
    </w:p>
    <w:p w14:paraId="44FD0ECA">
      <w:pPr>
        <w:pStyle w:val="3"/>
        <w:keepNext w:val="0"/>
        <w:keepLines w:val="0"/>
        <w:pageBreakBefore w:val="0"/>
        <w:widowControl w:val="0"/>
        <w:numPr>
          <w:ilvl w:val="0"/>
          <w:numId w:val="35"/>
        </w:numPr>
        <w:tabs>
          <w:tab w:val="left" w:pos="861"/>
          <w:tab w:val="clear" w:pos="210"/>
        </w:tabs>
        <w:kinsoku/>
        <w:wordWrap/>
        <w:overflowPunct/>
        <w:topLinePunct w:val="0"/>
        <w:autoSpaceDE/>
        <w:autoSpaceDN/>
        <w:bidi w:val="0"/>
        <w:adjustRightInd w:val="0"/>
        <w:snapToGrid w:val="0"/>
        <w:spacing w:after="0" w:line="460" w:lineRule="atLeast"/>
        <w:ind w:left="0" w:leftChars="0" w:firstLine="422" w:firstLineChars="200"/>
        <w:textAlignment w:val="auto"/>
        <w:rPr>
          <w:rFonts w:hint="eastAsia" w:ascii="宋体" w:hAnsi="宋体" w:eastAsia="宋体" w:cs="宋体"/>
          <w:b/>
          <w:color w:val="auto"/>
          <w:sz w:val="21"/>
          <w:szCs w:val="21"/>
          <w:highlight w:val="none"/>
        </w:rPr>
      </w:pPr>
      <w:r>
        <w:rPr>
          <w:rFonts w:hint="eastAsia" w:ascii="宋体" w:hAnsi="宋体" w:eastAsia="宋体" w:cs="宋体"/>
          <w:color w:val="auto"/>
          <w:sz w:val="21"/>
          <w:szCs w:val="21"/>
          <w:highlight w:val="none"/>
        </w:rPr>
        <w:t>开、评标秩序</w:t>
      </w:r>
    </w:p>
    <w:p w14:paraId="401B5EFD">
      <w:pPr>
        <w:pStyle w:val="11"/>
        <w:keepNext w:val="0"/>
        <w:keepLines w:val="0"/>
        <w:pageBreakBefore w:val="0"/>
        <w:widowControl w:val="0"/>
        <w:kinsoku/>
        <w:wordWrap/>
        <w:overflowPunct/>
        <w:topLinePunct w:val="0"/>
        <w:autoSpaceDE/>
        <w:autoSpaceDN/>
        <w:bidi w:val="0"/>
        <w:adjustRightInd w:val="0"/>
        <w:snapToGrid w:val="0"/>
        <w:spacing w:after="0" w:line="460" w:lineRule="atLeast"/>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在投标文件的审查、澄清和评价过程中，投标人违反规定滞留在开标、评标场所、扰乱秩序、影响工作，或者采取其他方式对招标人和评标组织成员施加影响的任何行为，都将导致取消其中标资格。</w:t>
      </w:r>
    </w:p>
    <w:p w14:paraId="368AEABE">
      <w:pPr>
        <w:pStyle w:val="3"/>
        <w:keepNext w:val="0"/>
        <w:keepLines w:val="0"/>
        <w:pageBreakBefore w:val="0"/>
        <w:widowControl w:val="0"/>
        <w:numPr>
          <w:ilvl w:val="0"/>
          <w:numId w:val="35"/>
        </w:numPr>
        <w:tabs>
          <w:tab w:val="left" w:pos="861"/>
          <w:tab w:val="clear" w:pos="210"/>
        </w:tabs>
        <w:kinsoku/>
        <w:wordWrap/>
        <w:overflowPunct/>
        <w:topLinePunct w:val="0"/>
        <w:autoSpaceDE/>
        <w:autoSpaceDN/>
        <w:bidi w:val="0"/>
        <w:adjustRightInd w:val="0"/>
        <w:snapToGrid w:val="0"/>
        <w:spacing w:after="0" w:line="460" w:lineRule="atLeast"/>
        <w:ind w:left="0" w:leftChars="0" w:firstLine="422" w:firstLineChars="200"/>
        <w:textAlignment w:val="auto"/>
        <w:rPr>
          <w:rFonts w:hint="eastAsia" w:ascii="宋体" w:hAnsi="宋体" w:eastAsia="宋体" w:cs="宋体"/>
          <w:b/>
          <w:color w:val="auto"/>
          <w:sz w:val="21"/>
          <w:szCs w:val="21"/>
          <w:highlight w:val="none"/>
        </w:rPr>
      </w:pPr>
      <w:r>
        <w:rPr>
          <w:rFonts w:hint="eastAsia" w:ascii="宋体" w:hAnsi="宋体" w:eastAsia="宋体" w:cs="宋体"/>
          <w:color w:val="auto"/>
          <w:sz w:val="21"/>
          <w:szCs w:val="21"/>
          <w:highlight w:val="none"/>
        </w:rPr>
        <w:t>重新招标</w:t>
      </w:r>
    </w:p>
    <w:p w14:paraId="2501F559">
      <w:pPr>
        <w:pStyle w:val="11"/>
        <w:keepNext w:val="0"/>
        <w:keepLines w:val="0"/>
        <w:pageBreakBefore w:val="0"/>
        <w:widowControl w:val="0"/>
        <w:kinsoku/>
        <w:wordWrap/>
        <w:overflowPunct/>
        <w:topLinePunct w:val="0"/>
        <w:autoSpaceDE/>
        <w:autoSpaceDN/>
        <w:bidi w:val="0"/>
        <w:adjustRightInd w:val="0"/>
        <w:snapToGrid w:val="0"/>
        <w:spacing w:after="0" w:line="460" w:lineRule="atLeast"/>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依法必须进行招标的项目，提交投标文件的投标人少于三个的，招标人在分析招标失败的原因并采取相应措施后，应当依法重新招标。重新招标后投标人仍少于三个的，按国家有关规定需要履行审批、核准手续的依法必须进行招标的项目，报项目审批、核准部门审批、核准后可以不再进行招标。</w:t>
      </w:r>
    </w:p>
    <w:p w14:paraId="200F9716">
      <w:pPr>
        <w:pStyle w:val="11"/>
        <w:keepNext w:val="0"/>
        <w:keepLines w:val="0"/>
        <w:pageBreakBefore w:val="0"/>
        <w:widowControl w:val="0"/>
        <w:kinsoku/>
        <w:wordWrap/>
        <w:overflowPunct/>
        <w:topLinePunct w:val="0"/>
        <w:autoSpaceDE/>
        <w:autoSpaceDN/>
        <w:bidi w:val="0"/>
        <w:adjustRightInd w:val="0"/>
        <w:snapToGrid w:val="0"/>
        <w:spacing w:after="0" w:line="460" w:lineRule="atLeast"/>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依法必须招标的项目评标委员会否决所有投标的，或者评标委员会否决一部分投标后其他有效投标不足三个使得投标明显缺乏竞争，决定否决全部投标的，招标人在分析招标失败的原因并采取相应措施后，应当重新招标。</w:t>
      </w:r>
    </w:p>
    <w:p w14:paraId="1FA81777">
      <w:pPr>
        <w:pStyle w:val="11"/>
        <w:keepNext w:val="0"/>
        <w:keepLines w:val="0"/>
        <w:pageBreakBefore w:val="0"/>
        <w:widowControl w:val="0"/>
        <w:kinsoku/>
        <w:wordWrap/>
        <w:overflowPunct/>
        <w:topLinePunct w:val="0"/>
        <w:autoSpaceDE/>
        <w:autoSpaceDN/>
        <w:bidi w:val="0"/>
        <w:adjustRightInd w:val="0"/>
        <w:snapToGrid w:val="0"/>
        <w:spacing w:after="0" w:line="460" w:lineRule="atLeast"/>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依法必须招标的项目在评标过程中，除出现《中华人民共和国招标投标法实施条例》第二十三条情形外，评标委员会认为因招标文件缺陷无法确定中标候选人或中标人的，招标人应当重新招标。</w:t>
      </w:r>
    </w:p>
    <w:p w14:paraId="1D64919F">
      <w:pPr>
        <w:pStyle w:val="2"/>
        <w:keepNext w:val="0"/>
        <w:keepLines w:val="0"/>
        <w:pageBreakBefore w:val="0"/>
        <w:widowControl w:val="0"/>
        <w:numPr>
          <w:ilvl w:val="0"/>
          <w:numId w:val="4"/>
        </w:numPr>
        <w:tabs>
          <w:tab w:val="left" w:pos="962"/>
          <w:tab w:val="clear" w:pos="210"/>
        </w:tabs>
        <w:kinsoku/>
        <w:wordWrap/>
        <w:overflowPunct/>
        <w:topLinePunct w:val="0"/>
        <w:autoSpaceDE/>
        <w:autoSpaceDN/>
        <w:bidi w:val="0"/>
        <w:adjustRightInd w:val="0"/>
        <w:snapToGrid w:val="0"/>
        <w:spacing w:before="0" w:beforeLines="0" w:after="0" w:line="460" w:lineRule="atLeast"/>
        <w:ind w:left="0" w:leftChars="0" w:firstLine="422" w:firstLineChars="200"/>
        <w:textAlignment w:val="auto"/>
        <w:rPr>
          <w:rFonts w:hint="eastAsia" w:ascii="宋体" w:hAnsi="宋体" w:eastAsia="宋体" w:cs="宋体"/>
          <w:b/>
          <w:color w:val="auto"/>
          <w:sz w:val="21"/>
          <w:szCs w:val="21"/>
          <w:highlight w:val="none"/>
        </w:rPr>
      </w:pPr>
      <w:bookmarkStart w:id="28" w:name="heading_21"/>
      <w:r>
        <w:rPr>
          <w:rFonts w:hint="eastAsia" w:ascii="宋体" w:hAnsi="宋体" w:eastAsia="宋体" w:cs="宋体"/>
          <w:color w:val="auto"/>
          <w:sz w:val="21"/>
          <w:szCs w:val="21"/>
          <w:highlight w:val="none"/>
        </w:rPr>
        <w:t>合同授予</w:t>
      </w:r>
      <w:bookmarkEnd w:id="28"/>
    </w:p>
    <w:p w14:paraId="7B788AAE">
      <w:pPr>
        <w:pStyle w:val="3"/>
        <w:keepNext w:val="0"/>
        <w:keepLines w:val="0"/>
        <w:pageBreakBefore w:val="0"/>
        <w:widowControl w:val="0"/>
        <w:numPr>
          <w:ilvl w:val="0"/>
          <w:numId w:val="51"/>
        </w:numPr>
        <w:tabs>
          <w:tab w:val="left" w:pos="861"/>
          <w:tab w:val="clear" w:pos="210"/>
        </w:tabs>
        <w:kinsoku/>
        <w:wordWrap/>
        <w:overflowPunct/>
        <w:topLinePunct w:val="0"/>
        <w:autoSpaceDE/>
        <w:autoSpaceDN/>
        <w:bidi w:val="0"/>
        <w:adjustRightInd w:val="0"/>
        <w:snapToGrid w:val="0"/>
        <w:spacing w:after="0" w:line="460" w:lineRule="atLeast"/>
        <w:ind w:left="0" w:leftChars="0" w:firstLine="422" w:firstLineChars="200"/>
        <w:textAlignment w:val="auto"/>
        <w:rPr>
          <w:rFonts w:hint="eastAsia" w:ascii="宋体" w:hAnsi="宋体" w:eastAsia="宋体" w:cs="宋体"/>
          <w:b/>
          <w:color w:val="auto"/>
          <w:sz w:val="21"/>
          <w:szCs w:val="21"/>
          <w:highlight w:val="none"/>
        </w:rPr>
      </w:pPr>
      <w:r>
        <w:rPr>
          <w:rFonts w:hint="eastAsia" w:ascii="宋体" w:hAnsi="宋体" w:eastAsia="宋体" w:cs="宋体"/>
          <w:color w:val="auto"/>
          <w:sz w:val="21"/>
          <w:szCs w:val="21"/>
          <w:highlight w:val="none"/>
        </w:rPr>
        <w:t>中标候选人公示</w:t>
      </w:r>
    </w:p>
    <w:p w14:paraId="6823D371">
      <w:pPr>
        <w:pStyle w:val="11"/>
        <w:keepNext w:val="0"/>
        <w:keepLines w:val="0"/>
        <w:pageBreakBefore w:val="0"/>
        <w:widowControl w:val="0"/>
        <w:kinsoku/>
        <w:wordWrap/>
        <w:overflowPunct/>
        <w:topLinePunct w:val="0"/>
        <w:autoSpaceDE/>
        <w:autoSpaceDN/>
        <w:bidi w:val="0"/>
        <w:adjustRightInd w:val="0"/>
        <w:snapToGrid w:val="0"/>
        <w:spacing w:after="0" w:line="460" w:lineRule="atLeast"/>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依法必须进行招标的项目，招标人应当自收到评标报告之日起3日内公示中标候选人，公示期不得少于3日。</w:t>
      </w:r>
    </w:p>
    <w:p w14:paraId="147F10B9">
      <w:pPr>
        <w:pStyle w:val="3"/>
        <w:keepNext w:val="0"/>
        <w:keepLines w:val="0"/>
        <w:pageBreakBefore w:val="0"/>
        <w:widowControl w:val="0"/>
        <w:numPr>
          <w:ilvl w:val="0"/>
          <w:numId w:val="51"/>
        </w:numPr>
        <w:tabs>
          <w:tab w:val="left" w:pos="861"/>
          <w:tab w:val="clear" w:pos="210"/>
        </w:tabs>
        <w:kinsoku/>
        <w:wordWrap/>
        <w:overflowPunct/>
        <w:topLinePunct w:val="0"/>
        <w:autoSpaceDE/>
        <w:autoSpaceDN/>
        <w:bidi w:val="0"/>
        <w:adjustRightInd w:val="0"/>
        <w:snapToGrid w:val="0"/>
        <w:spacing w:after="0" w:line="460" w:lineRule="atLeast"/>
        <w:ind w:left="0" w:leftChars="0" w:firstLine="422" w:firstLineChars="200"/>
        <w:textAlignment w:val="auto"/>
        <w:rPr>
          <w:rFonts w:hint="eastAsia" w:ascii="宋体" w:hAnsi="宋体" w:eastAsia="宋体" w:cs="宋体"/>
          <w:b/>
          <w:color w:val="auto"/>
          <w:sz w:val="21"/>
          <w:szCs w:val="21"/>
          <w:highlight w:val="none"/>
        </w:rPr>
      </w:pPr>
      <w:r>
        <w:rPr>
          <w:rFonts w:hint="eastAsia" w:ascii="宋体" w:hAnsi="宋体" w:eastAsia="宋体" w:cs="宋体"/>
          <w:color w:val="auto"/>
          <w:sz w:val="21"/>
          <w:szCs w:val="21"/>
          <w:highlight w:val="none"/>
        </w:rPr>
        <w:t>评标结果异议</w:t>
      </w:r>
    </w:p>
    <w:p w14:paraId="282BA094">
      <w:pPr>
        <w:pStyle w:val="11"/>
        <w:keepNext w:val="0"/>
        <w:keepLines w:val="0"/>
        <w:pageBreakBefore w:val="0"/>
        <w:widowControl w:val="0"/>
        <w:kinsoku/>
        <w:wordWrap/>
        <w:overflowPunct/>
        <w:topLinePunct w:val="0"/>
        <w:autoSpaceDE/>
        <w:autoSpaceDN/>
        <w:bidi w:val="0"/>
        <w:adjustRightInd w:val="0"/>
        <w:snapToGrid w:val="0"/>
        <w:spacing w:after="0" w:line="460" w:lineRule="atLeast"/>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投标人或者其他利害关系人对评标结果有异议的，应当在中标候选人公示期间向招标人提出。招标人应当自收到异议之日起3日内作出答复；作出答复前，应当暂停招标投标活动。</w:t>
      </w:r>
    </w:p>
    <w:p w14:paraId="7A697A04">
      <w:pPr>
        <w:pStyle w:val="3"/>
        <w:keepNext w:val="0"/>
        <w:keepLines w:val="0"/>
        <w:pageBreakBefore w:val="0"/>
        <w:widowControl w:val="0"/>
        <w:numPr>
          <w:ilvl w:val="0"/>
          <w:numId w:val="51"/>
        </w:numPr>
        <w:tabs>
          <w:tab w:val="left" w:pos="861"/>
          <w:tab w:val="clear" w:pos="210"/>
        </w:tabs>
        <w:kinsoku/>
        <w:wordWrap/>
        <w:overflowPunct/>
        <w:topLinePunct w:val="0"/>
        <w:autoSpaceDE/>
        <w:autoSpaceDN/>
        <w:bidi w:val="0"/>
        <w:adjustRightInd w:val="0"/>
        <w:snapToGrid w:val="0"/>
        <w:spacing w:after="0" w:line="460" w:lineRule="atLeast"/>
        <w:ind w:left="0" w:leftChars="0" w:firstLine="422" w:firstLineChars="200"/>
        <w:textAlignment w:val="auto"/>
        <w:rPr>
          <w:rFonts w:hint="eastAsia" w:ascii="宋体" w:hAnsi="宋体" w:eastAsia="宋体" w:cs="宋体"/>
          <w:b/>
          <w:color w:val="auto"/>
          <w:sz w:val="21"/>
          <w:szCs w:val="21"/>
          <w:highlight w:val="none"/>
        </w:rPr>
      </w:pPr>
      <w:r>
        <w:rPr>
          <w:rFonts w:hint="eastAsia" w:ascii="宋体" w:hAnsi="宋体" w:eastAsia="宋体" w:cs="宋体"/>
          <w:color w:val="auto"/>
          <w:sz w:val="21"/>
          <w:szCs w:val="21"/>
          <w:highlight w:val="none"/>
        </w:rPr>
        <w:t>定标方式</w:t>
      </w:r>
    </w:p>
    <w:p w14:paraId="6531EF78">
      <w:pPr>
        <w:pStyle w:val="11"/>
        <w:keepNext w:val="0"/>
        <w:keepLines w:val="0"/>
        <w:pageBreakBefore w:val="0"/>
        <w:widowControl w:val="0"/>
        <w:kinsoku/>
        <w:wordWrap/>
        <w:overflowPunct/>
        <w:topLinePunct w:val="0"/>
        <w:autoSpaceDE/>
        <w:autoSpaceDN/>
        <w:bidi w:val="0"/>
        <w:adjustRightInd w:val="0"/>
        <w:snapToGrid w:val="0"/>
        <w:spacing w:after="0" w:line="460" w:lineRule="atLeast"/>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除投标人须知前附表约定评标委员会直接确定中标人外，招标人依据评标委员会推荐的中标候选人确定中标人，评标委员会推荐中标候选人的人数见投标人须知前附表。</w:t>
      </w:r>
    </w:p>
    <w:p w14:paraId="7522234B">
      <w:pPr>
        <w:pStyle w:val="11"/>
        <w:keepNext w:val="0"/>
        <w:keepLines w:val="0"/>
        <w:pageBreakBefore w:val="0"/>
        <w:widowControl w:val="0"/>
        <w:kinsoku/>
        <w:wordWrap/>
        <w:overflowPunct/>
        <w:topLinePunct w:val="0"/>
        <w:autoSpaceDE/>
        <w:autoSpaceDN/>
        <w:bidi w:val="0"/>
        <w:adjustRightInd w:val="0"/>
        <w:snapToGrid w:val="0"/>
        <w:spacing w:after="0" w:line="460" w:lineRule="atLeast"/>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国有资金占控股或者主导地位的依法必须进行招投标的项目，招标人应当确定中标候选人为中标人。排名第一的中标候选人（或者评标委员会依据招标人的授权直接确定的中标人）放弃中标，或因不可抗力提出不能履行合同，或者被查实存在影响中标结果的违法行为等情形，不符合中标条件的，本工程直接重新招标，不得确定其他投标人为中标人。</w:t>
      </w:r>
    </w:p>
    <w:p w14:paraId="7BC3688F">
      <w:pPr>
        <w:pStyle w:val="11"/>
        <w:keepNext w:val="0"/>
        <w:keepLines w:val="0"/>
        <w:pageBreakBefore w:val="0"/>
        <w:widowControl w:val="0"/>
        <w:kinsoku/>
        <w:wordWrap/>
        <w:overflowPunct/>
        <w:topLinePunct w:val="0"/>
        <w:autoSpaceDE/>
        <w:autoSpaceDN/>
        <w:bidi w:val="0"/>
        <w:adjustRightInd w:val="0"/>
        <w:snapToGrid w:val="0"/>
        <w:spacing w:after="0" w:line="460" w:lineRule="atLeast"/>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投标人存在串通投标、以他人名义投标、弄虚作假等违法违规行为，或者无正当理由放弃投标、中标资格，造成项目招标失败的，不得参加该项目重新招标的投标。</w:t>
      </w:r>
    </w:p>
    <w:p w14:paraId="215E1440">
      <w:pPr>
        <w:pStyle w:val="3"/>
        <w:keepNext w:val="0"/>
        <w:keepLines w:val="0"/>
        <w:pageBreakBefore w:val="0"/>
        <w:widowControl w:val="0"/>
        <w:numPr>
          <w:ilvl w:val="0"/>
          <w:numId w:val="51"/>
        </w:numPr>
        <w:tabs>
          <w:tab w:val="left" w:pos="861"/>
          <w:tab w:val="clear" w:pos="210"/>
        </w:tabs>
        <w:kinsoku/>
        <w:wordWrap/>
        <w:overflowPunct/>
        <w:topLinePunct w:val="0"/>
        <w:autoSpaceDE/>
        <w:autoSpaceDN/>
        <w:bidi w:val="0"/>
        <w:adjustRightInd w:val="0"/>
        <w:snapToGrid w:val="0"/>
        <w:spacing w:after="0" w:line="460" w:lineRule="atLeast"/>
        <w:ind w:left="0" w:leftChars="0" w:firstLine="422" w:firstLineChars="200"/>
        <w:textAlignment w:val="auto"/>
        <w:rPr>
          <w:rFonts w:hint="eastAsia" w:ascii="宋体" w:hAnsi="宋体" w:eastAsia="宋体" w:cs="宋体"/>
          <w:b/>
          <w:color w:val="auto"/>
          <w:sz w:val="21"/>
          <w:szCs w:val="21"/>
          <w:highlight w:val="none"/>
        </w:rPr>
      </w:pPr>
      <w:r>
        <w:rPr>
          <w:rFonts w:hint="eastAsia" w:ascii="宋体" w:hAnsi="宋体" w:eastAsia="宋体" w:cs="宋体"/>
          <w:color w:val="auto"/>
          <w:sz w:val="21"/>
          <w:szCs w:val="21"/>
          <w:highlight w:val="none"/>
        </w:rPr>
        <w:t>中标通知</w:t>
      </w:r>
    </w:p>
    <w:p w14:paraId="3746EB99">
      <w:pPr>
        <w:pStyle w:val="11"/>
        <w:keepNext w:val="0"/>
        <w:keepLines w:val="0"/>
        <w:pageBreakBefore w:val="0"/>
        <w:widowControl w:val="0"/>
        <w:kinsoku/>
        <w:wordWrap/>
        <w:overflowPunct/>
        <w:topLinePunct w:val="0"/>
        <w:autoSpaceDE/>
        <w:autoSpaceDN/>
        <w:bidi w:val="0"/>
        <w:adjustRightInd w:val="0"/>
        <w:snapToGrid w:val="0"/>
        <w:spacing w:after="0" w:line="460" w:lineRule="atLeast"/>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招标人在本招标文件规定的投标有效期内以书面形式向中标人发出中标通知书。</w:t>
      </w:r>
    </w:p>
    <w:p w14:paraId="0E70F538">
      <w:pPr>
        <w:pStyle w:val="11"/>
        <w:keepNext w:val="0"/>
        <w:keepLines w:val="0"/>
        <w:pageBreakBefore w:val="0"/>
        <w:widowControl w:val="0"/>
        <w:kinsoku/>
        <w:wordWrap/>
        <w:overflowPunct/>
        <w:topLinePunct w:val="0"/>
        <w:autoSpaceDE/>
        <w:autoSpaceDN/>
        <w:bidi w:val="0"/>
        <w:adjustRightInd w:val="0"/>
        <w:snapToGrid w:val="0"/>
        <w:spacing w:after="0" w:line="460" w:lineRule="atLeast"/>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招标人无正当理由不发出中标通知书、不按照规定确定中标人、中标通知书发出后无正当理由改变中标结果，由有关行政监督部门予以处罚；给他人造成损失的，依法承担赔偿责任。</w:t>
      </w:r>
    </w:p>
    <w:p w14:paraId="59590799">
      <w:pPr>
        <w:pStyle w:val="3"/>
        <w:keepNext w:val="0"/>
        <w:keepLines w:val="0"/>
        <w:pageBreakBefore w:val="0"/>
        <w:widowControl w:val="0"/>
        <w:numPr>
          <w:ilvl w:val="0"/>
          <w:numId w:val="51"/>
        </w:numPr>
        <w:tabs>
          <w:tab w:val="left" w:pos="861"/>
          <w:tab w:val="clear" w:pos="210"/>
        </w:tabs>
        <w:kinsoku/>
        <w:wordWrap/>
        <w:overflowPunct/>
        <w:topLinePunct w:val="0"/>
        <w:autoSpaceDE/>
        <w:autoSpaceDN/>
        <w:bidi w:val="0"/>
        <w:adjustRightInd w:val="0"/>
        <w:snapToGrid w:val="0"/>
        <w:spacing w:after="0" w:line="460" w:lineRule="atLeast"/>
        <w:ind w:left="0" w:leftChars="0" w:firstLine="422" w:firstLineChars="200"/>
        <w:textAlignment w:val="auto"/>
        <w:rPr>
          <w:rFonts w:hint="eastAsia" w:ascii="宋体" w:hAnsi="宋体" w:eastAsia="宋体" w:cs="宋体"/>
          <w:b/>
          <w:color w:val="auto"/>
          <w:sz w:val="21"/>
          <w:szCs w:val="21"/>
          <w:highlight w:val="none"/>
        </w:rPr>
      </w:pPr>
      <w:r>
        <w:rPr>
          <w:rFonts w:hint="eastAsia" w:ascii="宋体" w:hAnsi="宋体" w:eastAsia="宋体" w:cs="宋体"/>
          <w:color w:val="auto"/>
          <w:sz w:val="21"/>
          <w:szCs w:val="21"/>
          <w:highlight w:val="none"/>
        </w:rPr>
        <w:t>履约保证金</w:t>
      </w:r>
    </w:p>
    <w:p w14:paraId="439276EA">
      <w:pPr>
        <w:pStyle w:val="11"/>
        <w:keepNext w:val="0"/>
        <w:keepLines w:val="0"/>
        <w:pageBreakBefore w:val="0"/>
        <w:widowControl w:val="0"/>
        <w:numPr>
          <w:ilvl w:val="0"/>
          <w:numId w:val="52"/>
        </w:numPr>
        <w:tabs>
          <w:tab w:val="left" w:pos="1080"/>
          <w:tab w:val="clear" w:pos="210"/>
        </w:tabs>
        <w:kinsoku/>
        <w:wordWrap/>
        <w:overflowPunct/>
        <w:topLinePunct w:val="0"/>
        <w:autoSpaceDE/>
        <w:autoSpaceDN/>
        <w:bidi w:val="0"/>
        <w:adjustRightInd w:val="0"/>
        <w:snapToGrid w:val="0"/>
        <w:spacing w:after="0" w:line="460" w:lineRule="atLeast"/>
        <w:ind w:left="0" w:leftChars="0" w:firstLine="420" w:firstLineChars="200"/>
        <w:textAlignment w:val="auto"/>
        <w:rPr>
          <w:rFonts w:hint="eastAsia" w:ascii="宋体" w:hAnsi="宋体" w:eastAsia="宋体" w:cs="宋体"/>
          <w:b w:val="0"/>
          <w:color w:val="auto"/>
          <w:sz w:val="21"/>
          <w:szCs w:val="21"/>
          <w:highlight w:val="none"/>
        </w:rPr>
      </w:pPr>
      <w:r>
        <w:rPr>
          <w:rFonts w:hint="eastAsia" w:ascii="宋体" w:hAnsi="宋体" w:eastAsia="宋体" w:cs="宋体"/>
          <w:color w:val="auto"/>
          <w:sz w:val="21"/>
          <w:szCs w:val="21"/>
          <w:highlight w:val="none"/>
        </w:rPr>
        <w:t>本项目履约保证金的金额为</w:t>
      </w:r>
      <w:r>
        <w:rPr>
          <w:rFonts w:hint="eastAsia" w:ascii="宋体" w:hAnsi="宋体" w:eastAsia="宋体" w:cs="宋体"/>
          <w:color w:val="auto"/>
          <w:sz w:val="21"/>
          <w:szCs w:val="21"/>
          <w:highlight w:val="none"/>
          <w:u w:val="single"/>
        </w:rPr>
        <w:t>中标价的10%</w:t>
      </w:r>
      <w:r>
        <w:rPr>
          <w:rFonts w:hint="eastAsia" w:ascii="宋体" w:hAnsi="宋体" w:eastAsia="宋体" w:cs="宋体"/>
          <w:color w:val="auto"/>
          <w:sz w:val="21"/>
          <w:szCs w:val="21"/>
          <w:highlight w:val="none"/>
        </w:rPr>
        <w:t>，中标人在收到中标通知书后，须在</w:t>
      </w:r>
      <w:r>
        <w:rPr>
          <w:rFonts w:hint="eastAsia" w:ascii="宋体" w:hAnsi="宋体" w:eastAsia="宋体" w:cs="宋体"/>
          <w:color w:val="auto"/>
          <w:sz w:val="21"/>
          <w:szCs w:val="21"/>
          <w:highlight w:val="none"/>
          <w:u w:val="single"/>
        </w:rPr>
        <w:t>20日</w:t>
      </w:r>
      <w:r>
        <w:rPr>
          <w:rFonts w:hint="eastAsia" w:ascii="宋体" w:hAnsi="宋体" w:eastAsia="宋体" w:cs="宋体"/>
          <w:color w:val="auto"/>
          <w:sz w:val="21"/>
          <w:szCs w:val="21"/>
          <w:highlight w:val="none"/>
        </w:rPr>
        <w:t>历天内向招标人按招标文件约定方式足额提交履约保证金，否则招标人可以取消其中标资格。</w:t>
      </w:r>
    </w:p>
    <w:p w14:paraId="50DBCB8A">
      <w:pPr>
        <w:pStyle w:val="11"/>
        <w:keepNext w:val="0"/>
        <w:keepLines w:val="0"/>
        <w:pageBreakBefore w:val="0"/>
        <w:widowControl w:val="0"/>
        <w:kinsoku/>
        <w:wordWrap/>
        <w:overflowPunct/>
        <w:topLinePunct w:val="0"/>
        <w:autoSpaceDE/>
        <w:autoSpaceDN/>
        <w:bidi w:val="0"/>
        <w:adjustRightInd w:val="0"/>
        <w:snapToGrid w:val="0"/>
        <w:spacing w:after="0" w:line="460" w:lineRule="atLeast"/>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履约保证金的形式：</w:t>
      </w:r>
    </w:p>
    <w:p w14:paraId="3CDBCC85">
      <w:pPr>
        <w:pStyle w:val="11"/>
        <w:keepNext w:val="0"/>
        <w:keepLines w:val="0"/>
        <w:pageBreakBefore w:val="0"/>
        <w:widowControl w:val="0"/>
        <w:numPr>
          <w:ilvl w:val="0"/>
          <w:numId w:val="53"/>
        </w:numPr>
        <w:tabs>
          <w:tab w:val="left" w:pos="1080"/>
        </w:tabs>
        <w:kinsoku/>
        <w:wordWrap/>
        <w:overflowPunct/>
        <w:topLinePunct w:val="0"/>
        <w:autoSpaceDE/>
        <w:autoSpaceDN/>
        <w:bidi w:val="0"/>
        <w:adjustRightInd w:val="0"/>
        <w:snapToGrid w:val="0"/>
        <w:spacing w:after="0" w:line="460" w:lineRule="atLeast"/>
        <w:ind w:left="0" w:leftChars="0" w:firstLine="422" w:firstLineChars="200"/>
        <w:textAlignment w:val="auto"/>
        <w:rPr>
          <w:rFonts w:hint="eastAsia" w:ascii="宋体" w:hAnsi="宋体" w:eastAsia="宋体" w:cs="宋体"/>
          <w:b/>
          <w:bCs/>
          <w:color w:val="auto"/>
          <w:sz w:val="21"/>
          <w:szCs w:val="21"/>
          <w:highlight w:val="none"/>
          <w:u w:val="single"/>
        </w:rPr>
      </w:pPr>
      <w:r>
        <w:rPr>
          <w:rFonts w:hint="eastAsia" w:ascii="宋体" w:hAnsi="宋体" w:eastAsia="宋体" w:cs="宋体"/>
          <w:b/>
          <w:bCs/>
          <w:color w:val="auto"/>
          <w:sz w:val="21"/>
          <w:szCs w:val="21"/>
          <w:highlight w:val="none"/>
          <w:u w:val="single"/>
        </w:rPr>
        <w:t>招标人接受中标人从基本账户缴纳的现金、数字人民币或银行保函中任何一种形式的履约保证金。具体形式由中标人自主选择。</w:t>
      </w:r>
    </w:p>
    <w:p w14:paraId="4822D608">
      <w:pPr>
        <w:pStyle w:val="11"/>
        <w:keepNext w:val="0"/>
        <w:keepLines w:val="0"/>
        <w:pageBreakBefore w:val="0"/>
        <w:widowControl w:val="0"/>
        <w:numPr>
          <w:ilvl w:val="0"/>
          <w:numId w:val="53"/>
        </w:numPr>
        <w:tabs>
          <w:tab w:val="left" w:pos="1080"/>
        </w:tabs>
        <w:kinsoku/>
        <w:wordWrap/>
        <w:overflowPunct/>
        <w:topLinePunct w:val="0"/>
        <w:autoSpaceDE/>
        <w:autoSpaceDN/>
        <w:bidi w:val="0"/>
        <w:adjustRightInd w:val="0"/>
        <w:snapToGrid w:val="0"/>
        <w:spacing w:after="0" w:line="460" w:lineRule="atLeast"/>
        <w:ind w:left="0" w:leftChars="0" w:firstLine="422" w:firstLineChars="200"/>
        <w:textAlignment w:val="auto"/>
        <w:rPr>
          <w:rFonts w:hint="eastAsia" w:ascii="宋体" w:hAnsi="宋体" w:eastAsia="宋体" w:cs="宋体"/>
          <w:b/>
          <w:bCs/>
          <w:color w:val="auto"/>
          <w:sz w:val="21"/>
          <w:szCs w:val="21"/>
          <w:highlight w:val="none"/>
          <w:u w:val="single"/>
        </w:rPr>
      </w:pPr>
      <w:r>
        <w:rPr>
          <w:rFonts w:hint="eastAsia" w:ascii="宋体" w:hAnsi="宋体" w:eastAsia="宋体" w:cs="宋体"/>
          <w:b/>
          <w:bCs/>
          <w:color w:val="auto"/>
          <w:sz w:val="21"/>
          <w:szCs w:val="21"/>
          <w:highlight w:val="none"/>
          <w:u w:val="single"/>
        </w:rPr>
        <w:t>本工程接受中标人提供的从基本账户缴纳的担保机构保函、保险机构保单等非现金交易担保方式。</w:t>
      </w:r>
    </w:p>
    <w:p w14:paraId="0820B0CC">
      <w:pPr>
        <w:pStyle w:val="11"/>
        <w:keepNext w:val="0"/>
        <w:keepLines w:val="0"/>
        <w:pageBreakBefore w:val="0"/>
        <w:widowControl w:val="0"/>
        <w:kinsoku/>
        <w:wordWrap/>
        <w:overflowPunct/>
        <w:topLinePunct w:val="0"/>
        <w:autoSpaceDE/>
        <w:autoSpaceDN/>
        <w:bidi w:val="0"/>
        <w:adjustRightInd w:val="0"/>
        <w:snapToGrid w:val="0"/>
        <w:spacing w:after="0" w:line="460" w:lineRule="atLeast"/>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注：招标人对中标人不能遵守招标文件约定，不能按时办理中标手续和缴纳履约保证金等费用，影响或者推迟签订合同的，招标人有权在中标通知书发出后</w:t>
      </w:r>
      <w:r>
        <w:rPr>
          <w:rFonts w:hint="eastAsia" w:ascii="宋体" w:hAnsi="宋体" w:eastAsia="宋体" w:cs="宋体"/>
          <w:color w:val="auto"/>
          <w:sz w:val="21"/>
          <w:szCs w:val="21"/>
          <w:highlight w:val="none"/>
          <w:u w:val="single"/>
        </w:rPr>
        <w:t>第21日</w:t>
      </w:r>
      <w:r>
        <w:rPr>
          <w:rFonts w:hint="eastAsia" w:ascii="宋体" w:hAnsi="宋体" w:eastAsia="宋体" w:cs="宋体"/>
          <w:color w:val="auto"/>
          <w:sz w:val="21"/>
          <w:szCs w:val="21"/>
          <w:highlight w:val="none"/>
        </w:rPr>
        <w:t>历天起宣布该中标人废标，有权没收其投标保证金，并按照国家相关法律、法规和规章的规定，建议行政主管部门予以处罚。</w:t>
      </w:r>
    </w:p>
    <w:p w14:paraId="18E02996">
      <w:pPr>
        <w:keepNext w:val="0"/>
        <w:keepLines w:val="0"/>
        <w:pageBreakBefore w:val="0"/>
        <w:widowControl w:val="0"/>
        <w:kinsoku/>
        <w:wordWrap/>
        <w:overflowPunct/>
        <w:topLinePunct w:val="0"/>
        <w:autoSpaceDE/>
        <w:autoSpaceDN/>
        <w:bidi w:val="0"/>
        <w:adjustRightInd w:val="0"/>
        <w:snapToGrid w:val="0"/>
        <w:spacing w:line="460" w:lineRule="atLeast"/>
        <w:ind w:firstLine="630" w:firstLineChars="3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招标人履约保证金专用帐户（收款单位：</w:t>
      </w:r>
      <w:r>
        <w:rPr>
          <w:rFonts w:hint="eastAsia" w:ascii="宋体" w:hAnsi="宋体" w:eastAsia="宋体" w:cs="宋体"/>
          <w:color w:val="auto"/>
          <w:sz w:val="21"/>
          <w:szCs w:val="21"/>
          <w:highlight w:val="none"/>
          <w:lang w:eastAsia="zh-CN"/>
        </w:rPr>
        <w:t>盐城东方投资开发集团有限公司</w:t>
      </w:r>
      <w:r>
        <w:rPr>
          <w:rFonts w:hint="eastAsia" w:ascii="宋体" w:hAnsi="宋体" w:eastAsia="宋体" w:cs="宋体"/>
          <w:color w:val="auto"/>
          <w:sz w:val="21"/>
          <w:szCs w:val="21"/>
          <w:highlight w:val="none"/>
        </w:rPr>
        <w:t>；开户银行：建设银行盐城开发区支行；账号：</w:t>
      </w:r>
      <w:r>
        <w:rPr>
          <w:rFonts w:hint="eastAsia" w:ascii="宋体" w:hAnsi="宋体" w:eastAsia="宋体" w:cs="宋体"/>
          <w:color w:val="auto"/>
          <w:sz w:val="21"/>
          <w:szCs w:val="21"/>
          <w:highlight w:val="none"/>
          <w:lang w:eastAsia="zh-CN"/>
        </w:rPr>
        <w:t>32001735336050837146</w:t>
      </w:r>
      <w:r>
        <w:rPr>
          <w:rFonts w:hint="eastAsia" w:ascii="宋体" w:hAnsi="宋体" w:eastAsia="宋体" w:cs="宋体"/>
          <w:color w:val="auto"/>
          <w:sz w:val="21"/>
          <w:szCs w:val="21"/>
          <w:highlight w:val="none"/>
        </w:rPr>
        <w:t>）。</w:t>
      </w:r>
    </w:p>
    <w:p w14:paraId="2EE10D3D">
      <w:pPr>
        <w:pStyle w:val="11"/>
        <w:keepNext w:val="0"/>
        <w:keepLines w:val="0"/>
        <w:pageBreakBefore w:val="0"/>
        <w:widowControl w:val="0"/>
        <w:kinsoku/>
        <w:wordWrap/>
        <w:overflowPunct/>
        <w:topLinePunct w:val="0"/>
        <w:autoSpaceDE/>
        <w:autoSpaceDN/>
        <w:bidi w:val="0"/>
        <w:adjustRightInd w:val="0"/>
        <w:snapToGrid w:val="0"/>
        <w:spacing w:after="0" w:line="460" w:lineRule="atLeast"/>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履约保证金退还方式：服务期满后，且无违约情形下一次性无息退还履约保证金。</w:t>
      </w:r>
    </w:p>
    <w:p w14:paraId="510F5732">
      <w:pPr>
        <w:pStyle w:val="11"/>
        <w:keepNext w:val="0"/>
        <w:keepLines w:val="0"/>
        <w:pageBreakBefore w:val="0"/>
        <w:widowControl w:val="0"/>
        <w:numPr>
          <w:ilvl w:val="0"/>
          <w:numId w:val="52"/>
        </w:numPr>
        <w:tabs>
          <w:tab w:val="left" w:pos="1080"/>
          <w:tab w:val="clear" w:pos="210"/>
        </w:tabs>
        <w:kinsoku/>
        <w:wordWrap/>
        <w:overflowPunct/>
        <w:topLinePunct w:val="0"/>
        <w:autoSpaceDE/>
        <w:autoSpaceDN/>
        <w:bidi w:val="0"/>
        <w:adjustRightInd w:val="0"/>
        <w:snapToGrid w:val="0"/>
        <w:spacing w:after="0" w:line="460" w:lineRule="atLeast"/>
        <w:ind w:left="0" w:leftChars="0" w:firstLine="420" w:firstLineChars="200"/>
        <w:textAlignment w:val="auto"/>
        <w:rPr>
          <w:rFonts w:hint="eastAsia" w:ascii="宋体" w:hAnsi="宋体" w:eastAsia="宋体" w:cs="宋体"/>
          <w:b w:val="0"/>
          <w:color w:val="auto"/>
          <w:sz w:val="21"/>
          <w:szCs w:val="21"/>
          <w:highlight w:val="none"/>
        </w:rPr>
      </w:pPr>
      <w:r>
        <w:rPr>
          <w:rFonts w:hint="eastAsia" w:ascii="宋体" w:hAnsi="宋体" w:eastAsia="宋体" w:cs="宋体"/>
          <w:color w:val="auto"/>
          <w:sz w:val="21"/>
          <w:szCs w:val="21"/>
          <w:highlight w:val="none"/>
        </w:rPr>
        <w:t>中标人不能按本章第7.5.1项要求提交履约保证金的，视为放弃中标，其投标保证金不予退还，给招标人造成的损失超过投标保证金数额的，中标人还应当对超过部分予以赔偿。</w:t>
      </w:r>
    </w:p>
    <w:p w14:paraId="70F06D5D">
      <w:pPr>
        <w:pStyle w:val="11"/>
        <w:keepNext w:val="0"/>
        <w:keepLines w:val="0"/>
        <w:pageBreakBefore w:val="0"/>
        <w:widowControl w:val="0"/>
        <w:numPr>
          <w:ilvl w:val="0"/>
          <w:numId w:val="52"/>
        </w:numPr>
        <w:tabs>
          <w:tab w:val="left" w:pos="1080"/>
          <w:tab w:val="clear" w:pos="210"/>
        </w:tabs>
        <w:kinsoku/>
        <w:wordWrap/>
        <w:overflowPunct/>
        <w:topLinePunct w:val="0"/>
        <w:autoSpaceDE/>
        <w:autoSpaceDN/>
        <w:bidi w:val="0"/>
        <w:adjustRightInd w:val="0"/>
        <w:snapToGrid w:val="0"/>
        <w:spacing w:after="0" w:line="460" w:lineRule="atLeast"/>
        <w:ind w:left="0" w:leftChars="0" w:firstLine="420" w:firstLineChars="200"/>
        <w:textAlignment w:val="auto"/>
        <w:rPr>
          <w:rFonts w:hint="eastAsia" w:ascii="宋体" w:hAnsi="宋体" w:eastAsia="宋体" w:cs="宋体"/>
          <w:b w:val="0"/>
          <w:color w:val="auto"/>
          <w:sz w:val="21"/>
          <w:szCs w:val="21"/>
          <w:highlight w:val="none"/>
        </w:rPr>
      </w:pPr>
      <w:r>
        <w:rPr>
          <w:rFonts w:hint="eastAsia" w:ascii="宋体" w:hAnsi="宋体" w:eastAsia="宋体" w:cs="宋体"/>
          <w:color w:val="auto"/>
          <w:sz w:val="21"/>
          <w:szCs w:val="21"/>
          <w:highlight w:val="none"/>
        </w:rPr>
        <w:t>如最高投标限价和中标价的差值大于履约保证金，中标人除按规定缴纳履约保证金外，在签订合同前，中标人应根据投标人须知前附表规定向招标人提供差额履约担保。</w:t>
      </w:r>
    </w:p>
    <w:p w14:paraId="20315978">
      <w:pPr>
        <w:pStyle w:val="3"/>
        <w:keepNext w:val="0"/>
        <w:keepLines w:val="0"/>
        <w:pageBreakBefore w:val="0"/>
        <w:widowControl w:val="0"/>
        <w:numPr>
          <w:ilvl w:val="0"/>
          <w:numId w:val="51"/>
        </w:numPr>
        <w:tabs>
          <w:tab w:val="left" w:pos="861"/>
          <w:tab w:val="clear" w:pos="210"/>
        </w:tabs>
        <w:kinsoku/>
        <w:wordWrap/>
        <w:overflowPunct/>
        <w:topLinePunct w:val="0"/>
        <w:autoSpaceDE/>
        <w:autoSpaceDN/>
        <w:bidi w:val="0"/>
        <w:adjustRightInd w:val="0"/>
        <w:snapToGrid w:val="0"/>
        <w:spacing w:after="0" w:line="460" w:lineRule="atLeast"/>
        <w:ind w:left="0" w:leftChars="0" w:firstLine="422" w:firstLineChars="200"/>
        <w:textAlignment w:val="auto"/>
        <w:rPr>
          <w:rFonts w:hint="eastAsia" w:ascii="宋体" w:hAnsi="宋体" w:eastAsia="宋体" w:cs="宋体"/>
          <w:b/>
          <w:color w:val="auto"/>
          <w:sz w:val="21"/>
          <w:szCs w:val="21"/>
          <w:highlight w:val="none"/>
        </w:rPr>
      </w:pPr>
      <w:r>
        <w:rPr>
          <w:rFonts w:hint="eastAsia" w:ascii="宋体" w:hAnsi="宋体" w:eastAsia="宋体" w:cs="宋体"/>
          <w:color w:val="auto"/>
          <w:sz w:val="21"/>
          <w:szCs w:val="21"/>
          <w:highlight w:val="none"/>
        </w:rPr>
        <w:t>签订合同</w:t>
      </w:r>
    </w:p>
    <w:p w14:paraId="71960022">
      <w:pPr>
        <w:pStyle w:val="11"/>
        <w:keepNext w:val="0"/>
        <w:keepLines w:val="0"/>
        <w:pageBreakBefore w:val="0"/>
        <w:widowControl w:val="0"/>
        <w:numPr>
          <w:ilvl w:val="0"/>
          <w:numId w:val="54"/>
        </w:numPr>
        <w:tabs>
          <w:tab w:val="left" w:pos="1080"/>
          <w:tab w:val="clear" w:pos="210"/>
        </w:tabs>
        <w:kinsoku/>
        <w:wordWrap/>
        <w:overflowPunct/>
        <w:topLinePunct w:val="0"/>
        <w:autoSpaceDE/>
        <w:autoSpaceDN/>
        <w:bidi w:val="0"/>
        <w:adjustRightInd w:val="0"/>
        <w:snapToGrid w:val="0"/>
        <w:spacing w:after="0" w:line="460" w:lineRule="atLeast"/>
        <w:ind w:left="0" w:leftChars="0" w:firstLine="420" w:firstLineChars="200"/>
        <w:textAlignment w:val="auto"/>
        <w:rPr>
          <w:rFonts w:hint="eastAsia" w:ascii="宋体" w:hAnsi="宋体" w:eastAsia="宋体" w:cs="宋体"/>
          <w:b w:val="0"/>
          <w:color w:val="auto"/>
          <w:sz w:val="21"/>
          <w:szCs w:val="21"/>
          <w:highlight w:val="none"/>
        </w:rPr>
      </w:pPr>
      <w:r>
        <w:rPr>
          <w:rFonts w:hint="eastAsia" w:ascii="宋体" w:hAnsi="宋体" w:eastAsia="宋体" w:cs="宋体"/>
          <w:color w:val="auto"/>
          <w:sz w:val="21"/>
          <w:szCs w:val="21"/>
          <w:highlight w:val="none"/>
        </w:rPr>
        <w:t>招标人和中标人应当自中标通知书发出之日起30天内，根据招标文件和中标人的投标文件订立书面合同。中标人无正当理由拒签合同，在签订合同时向招标人提出附加条件，或者不按照招标文件要求提交履约保证金的，招标人有权取消其中标资格，其投标保证金不予退还；给招标人造成的损失超过投标保证金数额的，中标人还应当对超过部分予以赔偿。</w:t>
      </w:r>
    </w:p>
    <w:p w14:paraId="0829D18F">
      <w:pPr>
        <w:pStyle w:val="11"/>
        <w:keepNext w:val="0"/>
        <w:keepLines w:val="0"/>
        <w:pageBreakBefore w:val="0"/>
        <w:widowControl w:val="0"/>
        <w:numPr>
          <w:ilvl w:val="0"/>
          <w:numId w:val="54"/>
        </w:numPr>
        <w:tabs>
          <w:tab w:val="left" w:pos="1080"/>
          <w:tab w:val="clear" w:pos="210"/>
        </w:tabs>
        <w:kinsoku/>
        <w:wordWrap/>
        <w:overflowPunct/>
        <w:topLinePunct w:val="0"/>
        <w:autoSpaceDE/>
        <w:autoSpaceDN/>
        <w:bidi w:val="0"/>
        <w:adjustRightInd w:val="0"/>
        <w:snapToGrid w:val="0"/>
        <w:spacing w:after="0" w:line="460" w:lineRule="atLeast"/>
        <w:ind w:left="0" w:leftChars="0" w:firstLine="420" w:firstLineChars="200"/>
        <w:textAlignment w:val="auto"/>
        <w:rPr>
          <w:rFonts w:hint="eastAsia" w:ascii="宋体" w:hAnsi="宋体" w:eastAsia="宋体" w:cs="宋体"/>
          <w:b w:val="0"/>
          <w:color w:val="auto"/>
          <w:sz w:val="21"/>
          <w:szCs w:val="21"/>
          <w:highlight w:val="none"/>
        </w:rPr>
      </w:pPr>
      <w:r>
        <w:rPr>
          <w:rFonts w:hint="eastAsia" w:ascii="宋体" w:hAnsi="宋体" w:eastAsia="宋体" w:cs="宋体"/>
          <w:color w:val="auto"/>
          <w:sz w:val="21"/>
          <w:szCs w:val="21"/>
          <w:highlight w:val="none"/>
        </w:rPr>
        <w:t>发出中标通知书后，招标人无正当理由拒签合同，或者在签订合同时向中标人提出附加条件的，招标人向中标人退还投标保证金；给中标人造成损失的，还应当赔偿损失。</w:t>
      </w:r>
    </w:p>
    <w:p w14:paraId="2CE9E05B">
      <w:pPr>
        <w:pStyle w:val="11"/>
        <w:keepNext w:val="0"/>
        <w:keepLines w:val="0"/>
        <w:pageBreakBefore w:val="0"/>
        <w:widowControl w:val="0"/>
        <w:numPr>
          <w:ilvl w:val="0"/>
          <w:numId w:val="54"/>
        </w:numPr>
        <w:tabs>
          <w:tab w:val="left" w:pos="1080"/>
          <w:tab w:val="clear" w:pos="210"/>
        </w:tabs>
        <w:kinsoku/>
        <w:wordWrap/>
        <w:overflowPunct/>
        <w:topLinePunct w:val="0"/>
        <w:autoSpaceDE/>
        <w:autoSpaceDN/>
        <w:bidi w:val="0"/>
        <w:adjustRightInd w:val="0"/>
        <w:snapToGrid w:val="0"/>
        <w:spacing w:after="0" w:line="460" w:lineRule="atLeast"/>
        <w:ind w:left="0" w:leftChars="0" w:firstLine="420" w:firstLineChars="200"/>
        <w:textAlignment w:val="auto"/>
        <w:rPr>
          <w:rFonts w:hint="eastAsia" w:ascii="宋体" w:hAnsi="宋体" w:eastAsia="宋体" w:cs="宋体"/>
          <w:b w:val="0"/>
          <w:color w:val="auto"/>
          <w:sz w:val="21"/>
          <w:szCs w:val="21"/>
          <w:highlight w:val="none"/>
        </w:rPr>
      </w:pPr>
      <w:r>
        <w:rPr>
          <w:rFonts w:hint="eastAsia" w:ascii="宋体" w:hAnsi="宋体" w:eastAsia="宋体" w:cs="宋体"/>
          <w:color w:val="auto"/>
          <w:sz w:val="21"/>
          <w:szCs w:val="21"/>
          <w:highlight w:val="none"/>
        </w:rPr>
        <w:t>招标人不按照招标文件和中标人的投标文件订立合同，合同的主要条款与招标文件、中标人的投标文件的内容不一致，或者招标人、中标人订立背离合同实质性内容的协议的，一并由有关行政监督部门予以处罚。</w:t>
      </w:r>
    </w:p>
    <w:p w14:paraId="6A69C27C">
      <w:pPr>
        <w:pStyle w:val="2"/>
        <w:keepNext w:val="0"/>
        <w:keepLines w:val="0"/>
        <w:pageBreakBefore w:val="0"/>
        <w:widowControl w:val="0"/>
        <w:numPr>
          <w:ilvl w:val="0"/>
          <w:numId w:val="4"/>
        </w:numPr>
        <w:tabs>
          <w:tab w:val="left" w:pos="962"/>
          <w:tab w:val="clear" w:pos="210"/>
        </w:tabs>
        <w:kinsoku/>
        <w:wordWrap/>
        <w:overflowPunct/>
        <w:topLinePunct w:val="0"/>
        <w:autoSpaceDE/>
        <w:autoSpaceDN/>
        <w:bidi w:val="0"/>
        <w:adjustRightInd w:val="0"/>
        <w:snapToGrid w:val="0"/>
        <w:spacing w:before="0" w:beforeLines="0" w:after="0" w:line="460" w:lineRule="atLeast"/>
        <w:ind w:left="0" w:leftChars="0" w:firstLine="422" w:firstLineChars="200"/>
        <w:textAlignment w:val="auto"/>
        <w:rPr>
          <w:rFonts w:hint="eastAsia" w:ascii="宋体" w:hAnsi="宋体" w:eastAsia="宋体" w:cs="宋体"/>
          <w:b/>
          <w:color w:val="auto"/>
          <w:sz w:val="21"/>
          <w:szCs w:val="21"/>
          <w:highlight w:val="none"/>
        </w:rPr>
      </w:pPr>
      <w:bookmarkStart w:id="29" w:name="heading_22"/>
      <w:r>
        <w:rPr>
          <w:rFonts w:hint="eastAsia" w:ascii="宋体" w:hAnsi="宋体" w:eastAsia="宋体" w:cs="宋体"/>
          <w:color w:val="auto"/>
          <w:sz w:val="21"/>
          <w:szCs w:val="21"/>
          <w:highlight w:val="none"/>
        </w:rPr>
        <w:t>纪律</w:t>
      </w:r>
      <w:bookmarkEnd w:id="29"/>
    </w:p>
    <w:p w14:paraId="11C4677F">
      <w:pPr>
        <w:pStyle w:val="3"/>
        <w:keepNext w:val="0"/>
        <w:keepLines w:val="0"/>
        <w:pageBreakBefore w:val="0"/>
        <w:widowControl w:val="0"/>
        <w:numPr>
          <w:ilvl w:val="0"/>
          <w:numId w:val="55"/>
        </w:numPr>
        <w:tabs>
          <w:tab w:val="left" w:pos="861"/>
          <w:tab w:val="clear" w:pos="210"/>
        </w:tabs>
        <w:kinsoku/>
        <w:wordWrap/>
        <w:overflowPunct/>
        <w:topLinePunct w:val="0"/>
        <w:autoSpaceDE/>
        <w:autoSpaceDN/>
        <w:bidi w:val="0"/>
        <w:adjustRightInd w:val="0"/>
        <w:snapToGrid w:val="0"/>
        <w:spacing w:after="0" w:line="460" w:lineRule="atLeast"/>
        <w:ind w:left="0" w:leftChars="0" w:firstLine="422" w:firstLineChars="200"/>
        <w:textAlignment w:val="auto"/>
        <w:rPr>
          <w:rFonts w:hint="eastAsia" w:ascii="宋体" w:hAnsi="宋体" w:eastAsia="宋体" w:cs="宋体"/>
          <w:b/>
          <w:color w:val="auto"/>
          <w:sz w:val="21"/>
          <w:szCs w:val="21"/>
          <w:highlight w:val="none"/>
        </w:rPr>
      </w:pPr>
      <w:r>
        <w:rPr>
          <w:rFonts w:hint="eastAsia" w:ascii="宋体" w:hAnsi="宋体" w:eastAsia="宋体" w:cs="宋体"/>
          <w:color w:val="auto"/>
          <w:sz w:val="21"/>
          <w:szCs w:val="21"/>
          <w:highlight w:val="none"/>
        </w:rPr>
        <w:t>对招标人的纪律要求</w:t>
      </w:r>
    </w:p>
    <w:p w14:paraId="5F78AE85">
      <w:pPr>
        <w:pStyle w:val="11"/>
        <w:keepNext w:val="0"/>
        <w:keepLines w:val="0"/>
        <w:pageBreakBefore w:val="0"/>
        <w:widowControl w:val="0"/>
        <w:kinsoku/>
        <w:wordWrap/>
        <w:overflowPunct/>
        <w:topLinePunct w:val="0"/>
        <w:autoSpaceDE/>
        <w:autoSpaceDN/>
        <w:bidi w:val="0"/>
        <w:adjustRightInd w:val="0"/>
        <w:snapToGrid w:val="0"/>
        <w:spacing w:after="0" w:line="460" w:lineRule="atLeast"/>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招标人不得泄露招标投标活动中应当保密的情况和资料，不得与投标人串通损害国家利益、社会公众利益或者他人合法权益。</w:t>
      </w:r>
    </w:p>
    <w:p w14:paraId="33D4B994">
      <w:pPr>
        <w:pStyle w:val="3"/>
        <w:keepNext w:val="0"/>
        <w:keepLines w:val="0"/>
        <w:pageBreakBefore w:val="0"/>
        <w:widowControl w:val="0"/>
        <w:numPr>
          <w:ilvl w:val="0"/>
          <w:numId w:val="55"/>
        </w:numPr>
        <w:tabs>
          <w:tab w:val="left" w:pos="861"/>
          <w:tab w:val="clear" w:pos="210"/>
        </w:tabs>
        <w:kinsoku/>
        <w:wordWrap/>
        <w:overflowPunct/>
        <w:topLinePunct w:val="0"/>
        <w:autoSpaceDE/>
        <w:autoSpaceDN/>
        <w:bidi w:val="0"/>
        <w:adjustRightInd w:val="0"/>
        <w:snapToGrid w:val="0"/>
        <w:spacing w:after="0" w:line="460" w:lineRule="atLeast"/>
        <w:ind w:left="0" w:leftChars="0" w:firstLine="422" w:firstLineChars="200"/>
        <w:textAlignment w:val="auto"/>
        <w:rPr>
          <w:rFonts w:hint="eastAsia" w:ascii="宋体" w:hAnsi="宋体" w:eastAsia="宋体" w:cs="宋体"/>
          <w:b/>
          <w:color w:val="auto"/>
          <w:sz w:val="21"/>
          <w:szCs w:val="21"/>
          <w:highlight w:val="none"/>
        </w:rPr>
      </w:pPr>
      <w:r>
        <w:rPr>
          <w:rFonts w:hint="eastAsia" w:ascii="宋体" w:hAnsi="宋体" w:eastAsia="宋体" w:cs="宋体"/>
          <w:color w:val="auto"/>
          <w:sz w:val="21"/>
          <w:szCs w:val="21"/>
          <w:highlight w:val="none"/>
        </w:rPr>
        <w:t>对投标人的纪律要求</w:t>
      </w:r>
    </w:p>
    <w:p w14:paraId="63E454CA">
      <w:pPr>
        <w:pStyle w:val="11"/>
        <w:keepNext w:val="0"/>
        <w:keepLines w:val="0"/>
        <w:pageBreakBefore w:val="0"/>
        <w:widowControl w:val="0"/>
        <w:kinsoku/>
        <w:wordWrap/>
        <w:overflowPunct/>
        <w:topLinePunct w:val="0"/>
        <w:autoSpaceDE/>
        <w:autoSpaceDN/>
        <w:bidi w:val="0"/>
        <w:adjustRightInd w:val="0"/>
        <w:snapToGrid w:val="0"/>
        <w:spacing w:after="0" w:line="460" w:lineRule="atLeast"/>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投标人不得相互串通投标或者与招标人串通投标，不得向招标人或者评标委员会成员行贿谋取中标，不得以他人名义投标或者以其他方式弄虚作假骗取中标；投标人不得以任何方式干扰、影响评标工作。</w:t>
      </w:r>
    </w:p>
    <w:p w14:paraId="46F8D053">
      <w:pPr>
        <w:pStyle w:val="3"/>
        <w:keepNext w:val="0"/>
        <w:keepLines w:val="0"/>
        <w:pageBreakBefore w:val="0"/>
        <w:widowControl w:val="0"/>
        <w:numPr>
          <w:ilvl w:val="0"/>
          <w:numId w:val="55"/>
        </w:numPr>
        <w:tabs>
          <w:tab w:val="left" w:pos="861"/>
          <w:tab w:val="clear" w:pos="210"/>
        </w:tabs>
        <w:kinsoku/>
        <w:wordWrap/>
        <w:overflowPunct/>
        <w:topLinePunct w:val="0"/>
        <w:autoSpaceDE/>
        <w:autoSpaceDN/>
        <w:bidi w:val="0"/>
        <w:adjustRightInd w:val="0"/>
        <w:snapToGrid w:val="0"/>
        <w:spacing w:after="0" w:line="460" w:lineRule="atLeast"/>
        <w:ind w:left="0" w:leftChars="0" w:firstLine="422" w:firstLineChars="200"/>
        <w:textAlignment w:val="auto"/>
        <w:rPr>
          <w:rFonts w:hint="eastAsia" w:ascii="宋体" w:hAnsi="宋体" w:eastAsia="宋体" w:cs="宋体"/>
          <w:b/>
          <w:color w:val="auto"/>
          <w:sz w:val="21"/>
          <w:szCs w:val="21"/>
          <w:highlight w:val="none"/>
        </w:rPr>
      </w:pPr>
      <w:r>
        <w:rPr>
          <w:rFonts w:hint="eastAsia" w:ascii="宋体" w:hAnsi="宋体" w:eastAsia="宋体" w:cs="宋体"/>
          <w:color w:val="auto"/>
          <w:sz w:val="21"/>
          <w:szCs w:val="21"/>
          <w:highlight w:val="none"/>
        </w:rPr>
        <w:t>对评标委员会成员的纪律要求</w:t>
      </w:r>
    </w:p>
    <w:p w14:paraId="06B79BCB">
      <w:pPr>
        <w:pStyle w:val="11"/>
        <w:keepNext w:val="0"/>
        <w:keepLines w:val="0"/>
        <w:pageBreakBefore w:val="0"/>
        <w:widowControl w:val="0"/>
        <w:kinsoku/>
        <w:wordWrap/>
        <w:overflowPunct/>
        <w:topLinePunct w:val="0"/>
        <w:autoSpaceDE/>
        <w:autoSpaceDN/>
        <w:bidi w:val="0"/>
        <w:adjustRightInd w:val="0"/>
        <w:snapToGrid w:val="0"/>
        <w:spacing w:after="0" w:line="460" w:lineRule="atLeast"/>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评标委员会成员不得收受他人的财物或者其他好处，不得向他人透漏对投标文件的评审和比较、中标候选人的推荐情况以及评标有关的其他情况。在评标活动中，评标委员会成员应当客观、公正地履行职责，遵守职业道德，不得擅离职守，影响评标程序正常进行，不得使用“评标办法”没有规定的评审因素和标准进行评标。</w:t>
      </w:r>
    </w:p>
    <w:p w14:paraId="7571BC20">
      <w:pPr>
        <w:pStyle w:val="3"/>
        <w:keepNext w:val="0"/>
        <w:keepLines w:val="0"/>
        <w:pageBreakBefore w:val="0"/>
        <w:widowControl w:val="0"/>
        <w:numPr>
          <w:ilvl w:val="0"/>
          <w:numId w:val="55"/>
        </w:numPr>
        <w:tabs>
          <w:tab w:val="left" w:pos="861"/>
          <w:tab w:val="clear" w:pos="210"/>
        </w:tabs>
        <w:kinsoku/>
        <w:wordWrap/>
        <w:overflowPunct/>
        <w:topLinePunct w:val="0"/>
        <w:autoSpaceDE/>
        <w:autoSpaceDN/>
        <w:bidi w:val="0"/>
        <w:adjustRightInd w:val="0"/>
        <w:snapToGrid w:val="0"/>
        <w:spacing w:after="0" w:line="460" w:lineRule="atLeast"/>
        <w:ind w:left="0" w:leftChars="0" w:firstLine="422" w:firstLineChars="200"/>
        <w:textAlignment w:val="auto"/>
        <w:rPr>
          <w:rFonts w:hint="eastAsia" w:ascii="宋体" w:hAnsi="宋体" w:eastAsia="宋体" w:cs="宋体"/>
          <w:b/>
          <w:color w:val="auto"/>
          <w:sz w:val="21"/>
          <w:szCs w:val="21"/>
          <w:highlight w:val="none"/>
        </w:rPr>
      </w:pPr>
      <w:r>
        <w:rPr>
          <w:rFonts w:hint="eastAsia" w:ascii="宋体" w:hAnsi="宋体" w:eastAsia="宋体" w:cs="宋体"/>
          <w:color w:val="auto"/>
          <w:sz w:val="21"/>
          <w:szCs w:val="21"/>
          <w:highlight w:val="none"/>
        </w:rPr>
        <w:t>对与评标活动有关的工作人员的纪律要求</w:t>
      </w:r>
    </w:p>
    <w:p w14:paraId="244DD91C">
      <w:pPr>
        <w:pStyle w:val="11"/>
        <w:keepNext w:val="0"/>
        <w:keepLines w:val="0"/>
        <w:pageBreakBefore w:val="0"/>
        <w:widowControl w:val="0"/>
        <w:kinsoku/>
        <w:wordWrap/>
        <w:overflowPunct/>
        <w:topLinePunct w:val="0"/>
        <w:autoSpaceDE/>
        <w:autoSpaceDN/>
        <w:bidi w:val="0"/>
        <w:adjustRightInd w:val="0"/>
        <w:snapToGrid w:val="0"/>
        <w:spacing w:after="0" w:line="460" w:lineRule="atLeast"/>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与评标活动有关的工作人员不得收受他人的财物或者其他好处，不得向他人透漏对投标文件的评审和比较、中标候选人的推荐情况以及评标有关的其他情况。在评标活动中，与评标活动有关的工作人员不得擅离职守，影响评标程序正常进行。</w:t>
      </w:r>
    </w:p>
    <w:p w14:paraId="401A4084">
      <w:pPr>
        <w:pStyle w:val="2"/>
        <w:keepNext w:val="0"/>
        <w:keepLines w:val="0"/>
        <w:pageBreakBefore w:val="0"/>
        <w:widowControl w:val="0"/>
        <w:numPr>
          <w:ilvl w:val="0"/>
          <w:numId w:val="4"/>
        </w:numPr>
        <w:tabs>
          <w:tab w:val="left" w:pos="962"/>
          <w:tab w:val="clear" w:pos="210"/>
        </w:tabs>
        <w:kinsoku/>
        <w:wordWrap/>
        <w:overflowPunct/>
        <w:topLinePunct w:val="0"/>
        <w:autoSpaceDE/>
        <w:autoSpaceDN/>
        <w:bidi w:val="0"/>
        <w:adjustRightInd w:val="0"/>
        <w:snapToGrid w:val="0"/>
        <w:spacing w:before="0" w:beforeLines="0" w:after="0" w:line="460" w:lineRule="atLeast"/>
        <w:ind w:left="0" w:leftChars="0" w:firstLine="422" w:firstLineChars="200"/>
        <w:textAlignment w:val="auto"/>
        <w:rPr>
          <w:rFonts w:hint="eastAsia" w:ascii="宋体" w:hAnsi="宋体" w:eastAsia="宋体" w:cs="宋体"/>
          <w:b/>
          <w:bCs/>
          <w:color w:val="auto"/>
          <w:sz w:val="21"/>
          <w:szCs w:val="21"/>
          <w:highlight w:val="none"/>
        </w:rPr>
      </w:pPr>
      <w:bookmarkStart w:id="30" w:name="heading_23"/>
      <w:r>
        <w:rPr>
          <w:rFonts w:hint="eastAsia" w:ascii="宋体" w:hAnsi="宋体" w:eastAsia="宋体" w:cs="宋体"/>
          <w:b/>
          <w:bCs/>
          <w:color w:val="auto"/>
          <w:sz w:val="21"/>
          <w:szCs w:val="21"/>
          <w:highlight w:val="none"/>
        </w:rPr>
        <w:t>需要补充的其他内容</w:t>
      </w:r>
      <w:bookmarkEnd w:id="30"/>
    </w:p>
    <w:p w14:paraId="6964056D">
      <w:pPr>
        <w:pStyle w:val="11"/>
        <w:keepNext w:val="0"/>
        <w:keepLines w:val="0"/>
        <w:pageBreakBefore w:val="0"/>
        <w:widowControl w:val="0"/>
        <w:kinsoku/>
        <w:wordWrap/>
        <w:overflowPunct/>
        <w:topLinePunct w:val="0"/>
        <w:autoSpaceDE/>
        <w:autoSpaceDN/>
        <w:bidi w:val="0"/>
        <w:adjustRightInd w:val="0"/>
        <w:snapToGrid w:val="0"/>
        <w:spacing w:after="0" w:line="460" w:lineRule="atLeast"/>
        <w:ind w:left="0" w:leftChars="0" w:firstLine="422" w:firstLineChars="200"/>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9.1 招投标相关单位及个人在招投标活动中存在以下9.1.1以及9.1.2条失信行为的，在“江苏省建设工程招标网”公示期间，本项目的招标人拒绝其投标。</w:t>
      </w:r>
    </w:p>
    <w:p w14:paraId="7815AB69">
      <w:pPr>
        <w:pStyle w:val="11"/>
        <w:keepNext w:val="0"/>
        <w:keepLines w:val="0"/>
        <w:pageBreakBefore w:val="0"/>
        <w:widowControl w:val="0"/>
        <w:numPr>
          <w:ilvl w:val="0"/>
          <w:numId w:val="56"/>
        </w:numPr>
        <w:tabs>
          <w:tab w:val="left" w:pos="1080"/>
          <w:tab w:val="clear" w:pos="210"/>
        </w:tabs>
        <w:kinsoku/>
        <w:wordWrap/>
        <w:overflowPunct/>
        <w:topLinePunct w:val="0"/>
        <w:autoSpaceDE/>
        <w:autoSpaceDN/>
        <w:bidi w:val="0"/>
        <w:adjustRightInd w:val="0"/>
        <w:snapToGrid w:val="0"/>
        <w:spacing w:after="0" w:line="460" w:lineRule="atLeast"/>
        <w:ind w:left="0" w:leftChars="0" w:firstLine="422" w:firstLineChars="200"/>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招投标各方主体及个人在招投标活动中违反法律法规和规章规定受到行政处罚的，公示不少于3个月。</w:t>
      </w:r>
    </w:p>
    <w:p w14:paraId="370F9E41">
      <w:pPr>
        <w:pStyle w:val="11"/>
        <w:keepNext w:val="0"/>
        <w:keepLines w:val="0"/>
        <w:pageBreakBefore w:val="0"/>
        <w:widowControl w:val="0"/>
        <w:numPr>
          <w:ilvl w:val="0"/>
          <w:numId w:val="56"/>
        </w:numPr>
        <w:tabs>
          <w:tab w:val="left" w:pos="1080"/>
          <w:tab w:val="clear" w:pos="210"/>
        </w:tabs>
        <w:kinsoku/>
        <w:wordWrap/>
        <w:overflowPunct/>
        <w:topLinePunct w:val="0"/>
        <w:autoSpaceDE/>
        <w:autoSpaceDN/>
        <w:bidi w:val="0"/>
        <w:adjustRightInd w:val="0"/>
        <w:snapToGrid w:val="0"/>
        <w:spacing w:after="0" w:line="460" w:lineRule="atLeast"/>
        <w:ind w:left="0" w:leftChars="0" w:firstLine="422" w:firstLineChars="200"/>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投标人在招投标活动中出现如下失信行为，公示1-3个月：</w:t>
      </w:r>
    </w:p>
    <w:p w14:paraId="44495DEE">
      <w:pPr>
        <w:pStyle w:val="11"/>
        <w:keepNext w:val="0"/>
        <w:keepLines w:val="0"/>
        <w:pageBreakBefore w:val="0"/>
        <w:widowControl w:val="0"/>
        <w:numPr>
          <w:ilvl w:val="0"/>
          <w:numId w:val="57"/>
        </w:numPr>
        <w:tabs>
          <w:tab w:val="left" w:pos="1080"/>
        </w:tabs>
        <w:kinsoku/>
        <w:wordWrap/>
        <w:overflowPunct/>
        <w:topLinePunct w:val="0"/>
        <w:autoSpaceDE/>
        <w:autoSpaceDN/>
        <w:bidi w:val="0"/>
        <w:adjustRightInd w:val="0"/>
        <w:snapToGrid w:val="0"/>
        <w:spacing w:after="0" w:line="460" w:lineRule="atLeast"/>
        <w:ind w:left="0" w:leftChars="0" w:firstLine="422" w:firstLineChars="200"/>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除不可抗力的外，资格预审合格的投标人无故不获取招标文件或者获取招标文件后放弃投标，或者投标人在投标截止后无故撤销投标文件等，公示2个月；</w:t>
      </w:r>
    </w:p>
    <w:p w14:paraId="30538A9E">
      <w:pPr>
        <w:pStyle w:val="11"/>
        <w:keepNext w:val="0"/>
        <w:keepLines w:val="0"/>
        <w:pageBreakBefore w:val="0"/>
        <w:widowControl w:val="0"/>
        <w:numPr>
          <w:ilvl w:val="0"/>
          <w:numId w:val="57"/>
        </w:numPr>
        <w:tabs>
          <w:tab w:val="left" w:pos="1080"/>
        </w:tabs>
        <w:kinsoku/>
        <w:wordWrap/>
        <w:overflowPunct/>
        <w:topLinePunct w:val="0"/>
        <w:autoSpaceDE/>
        <w:autoSpaceDN/>
        <w:bidi w:val="0"/>
        <w:adjustRightInd w:val="0"/>
        <w:snapToGrid w:val="0"/>
        <w:spacing w:after="0" w:line="460" w:lineRule="atLeast"/>
        <w:ind w:left="0" w:leftChars="0" w:firstLine="422" w:firstLineChars="200"/>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递交无竞争力的投标文件的（无竞争力投标是指不以中标为目的的投标，包括投标报价畸高、投标文件故意漏项缺项、施工组织设计文件不符合篇幅要求、以及故意违反招标文件中已醒目标识的无效投标条款且事先未质疑等情形），公示1个月；</w:t>
      </w:r>
    </w:p>
    <w:p w14:paraId="0CF94B1D">
      <w:pPr>
        <w:pStyle w:val="11"/>
        <w:keepNext w:val="0"/>
        <w:keepLines w:val="0"/>
        <w:pageBreakBefore w:val="0"/>
        <w:widowControl w:val="0"/>
        <w:numPr>
          <w:ilvl w:val="0"/>
          <w:numId w:val="57"/>
        </w:numPr>
        <w:tabs>
          <w:tab w:val="left" w:pos="1080"/>
        </w:tabs>
        <w:kinsoku/>
        <w:wordWrap/>
        <w:overflowPunct/>
        <w:topLinePunct w:val="0"/>
        <w:autoSpaceDE/>
        <w:autoSpaceDN/>
        <w:bidi w:val="0"/>
        <w:adjustRightInd w:val="0"/>
        <w:snapToGrid w:val="0"/>
        <w:spacing w:after="0" w:line="460" w:lineRule="atLeast"/>
        <w:ind w:left="0" w:leftChars="0" w:firstLine="422" w:firstLineChars="200"/>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企业二内4次在全省投诉反映情况不属实，缺乏事实或法律依据的，公示1个月；</w:t>
      </w:r>
    </w:p>
    <w:p w14:paraId="534AB1AE">
      <w:pPr>
        <w:pStyle w:val="11"/>
        <w:keepNext w:val="0"/>
        <w:keepLines w:val="0"/>
        <w:pageBreakBefore w:val="0"/>
        <w:widowControl w:val="0"/>
        <w:numPr>
          <w:ilvl w:val="0"/>
          <w:numId w:val="57"/>
        </w:numPr>
        <w:tabs>
          <w:tab w:val="left" w:pos="1080"/>
        </w:tabs>
        <w:kinsoku/>
        <w:wordWrap/>
        <w:overflowPunct/>
        <w:topLinePunct w:val="0"/>
        <w:autoSpaceDE/>
        <w:autoSpaceDN/>
        <w:bidi w:val="0"/>
        <w:adjustRightInd w:val="0"/>
        <w:snapToGrid w:val="0"/>
        <w:spacing w:after="0" w:line="460" w:lineRule="atLeast"/>
        <w:ind w:left="0" w:leftChars="0" w:firstLine="422" w:firstLineChars="200"/>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投诉人故意捏造事实、伪造证明材料的，或者以非法手段取得证明材料等进行恶意投诉的，公示3个月。</w:t>
      </w:r>
    </w:p>
    <w:p w14:paraId="0CEDC691">
      <w:pPr>
        <w:pStyle w:val="11"/>
        <w:keepNext w:val="0"/>
        <w:keepLines w:val="0"/>
        <w:pageBreakBefore w:val="0"/>
        <w:widowControl w:val="0"/>
        <w:numPr>
          <w:ilvl w:val="0"/>
          <w:numId w:val="0"/>
        </w:numPr>
        <w:tabs>
          <w:tab w:val="left" w:pos="1080"/>
        </w:tabs>
        <w:kinsoku/>
        <w:wordWrap/>
        <w:overflowPunct/>
        <w:topLinePunct w:val="0"/>
        <w:autoSpaceDE/>
        <w:autoSpaceDN/>
        <w:bidi w:val="0"/>
        <w:adjustRightInd w:val="0"/>
        <w:snapToGrid w:val="0"/>
        <w:spacing w:after="0" w:line="460" w:lineRule="atLeast"/>
        <w:ind w:leftChars="200"/>
        <w:textAlignment w:val="auto"/>
        <w:rPr>
          <w:rFonts w:hint="eastAsia" w:ascii="宋体" w:hAnsi="宋体" w:cs="宋体"/>
          <w:b/>
          <w:bCs/>
          <w:color w:val="auto"/>
          <w:sz w:val="21"/>
          <w:szCs w:val="21"/>
          <w:highlight w:val="none"/>
          <w:lang w:val="en-US" w:eastAsia="zh-CN"/>
        </w:rPr>
      </w:pPr>
      <w:r>
        <w:rPr>
          <w:rFonts w:hint="eastAsia" w:ascii="宋体" w:hAnsi="宋体" w:cs="宋体"/>
          <w:b/>
          <w:bCs/>
          <w:color w:val="auto"/>
          <w:sz w:val="21"/>
          <w:szCs w:val="21"/>
          <w:highlight w:val="none"/>
          <w:lang w:val="en-US" w:eastAsia="zh-CN"/>
        </w:rPr>
        <w:t>9.2投标人中标后，须在签订合同前按本招标文件第五章招标需求配备符合要求的相应人员并</w:t>
      </w:r>
    </w:p>
    <w:p w14:paraId="52836726">
      <w:pPr>
        <w:pStyle w:val="11"/>
        <w:keepNext w:val="0"/>
        <w:keepLines w:val="0"/>
        <w:pageBreakBefore w:val="0"/>
        <w:widowControl w:val="0"/>
        <w:numPr>
          <w:ilvl w:val="0"/>
          <w:numId w:val="0"/>
        </w:numPr>
        <w:tabs>
          <w:tab w:val="left" w:pos="1080"/>
        </w:tabs>
        <w:kinsoku/>
        <w:wordWrap/>
        <w:overflowPunct/>
        <w:topLinePunct w:val="0"/>
        <w:autoSpaceDE/>
        <w:autoSpaceDN/>
        <w:bidi w:val="0"/>
        <w:adjustRightInd w:val="0"/>
        <w:snapToGrid w:val="0"/>
        <w:spacing w:after="0" w:line="460" w:lineRule="atLeast"/>
        <w:textAlignment w:val="auto"/>
        <w:rPr>
          <w:rFonts w:hint="default" w:ascii="宋体" w:hAnsi="宋体" w:eastAsia="宋体" w:cs="宋体"/>
          <w:b/>
          <w:bCs/>
          <w:color w:val="auto"/>
          <w:sz w:val="21"/>
          <w:szCs w:val="21"/>
          <w:highlight w:val="none"/>
          <w:lang w:val="en-US" w:eastAsia="zh-CN"/>
        </w:rPr>
      </w:pPr>
      <w:r>
        <w:rPr>
          <w:rFonts w:hint="eastAsia" w:ascii="宋体" w:hAnsi="宋体" w:cs="宋体"/>
          <w:b/>
          <w:bCs/>
          <w:color w:val="auto"/>
          <w:sz w:val="21"/>
          <w:szCs w:val="21"/>
          <w:highlight w:val="none"/>
          <w:lang w:val="en-US" w:eastAsia="zh-CN"/>
        </w:rPr>
        <w:t>送招标人备案。如中标人无法配备满足要求的人员或人员配备不全，则招标人有权取消中标单位的中标资格。</w:t>
      </w:r>
    </w:p>
    <w:p w14:paraId="26DE4BC0">
      <w:pPr>
        <w:pStyle w:val="21"/>
        <w:keepNext w:val="0"/>
        <w:keepLines w:val="0"/>
        <w:pageBreakBefore w:val="0"/>
        <w:widowControl w:val="0"/>
        <w:tabs>
          <w:tab w:val="left" w:pos="0"/>
        </w:tabs>
        <w:kinsoku/>
        <w:wordWrap/>
        <w:overflowPunct/>
        <w:topLinePunct w:val="0"/>
        <w:autoSpaceDE/>
        <w:autoSpaceDN/>
        <w:bidi w:val="0"/>
        <w:adjustRightInd w:val="0"/>
        <w:snapToGrid w:val="0"/>
        <w:spacing w:before="0" w:after="0" w:line="460" w:lineRule="exact"/>
        <w:ind w:left="0" w:leftChars="0" w:firstLine="0" w:firstLineChars="0"/>
        <w:textAlignment w:val="auto"/>
        <w:outlineLvl w:val="0"/>
        <w:rPr>
          <w:rFonts w:hint="eastAsia" w:ascii="宋体" w:hAnsi="宋体" w:eastAsia="宋体" w:cs="宋体"/>
          <w:b/>
          <w:bCs/>
          <w:color w:val="auto"/>
          <w:sz w:val="28"/>
          <w:szCs w:val="28"/>
          <w:highlight w:val="none"/>
        </w:rPr>
      </w:pPr>
      <w:bookmarkStart w:id="31" w:name="heading_24"/>
      <w:r>
        <w:rPr>
          <w:rFonts w:hint="eastAsia" w:ascii="宋体" w:hAnsi="宋体" w:eastAsia="宋体" w:cs="宋体"/>
          <w:color w:val="auto"/>
          <w:highlight w:val="none"/>
        </w:rPr>
        <w:br w:type="page"/>
      </w:r>
      <w:r>
        <w:rPr>
          <w:rFonts w:hint="eastAsia" w:ascii="宋体" w:hAnsi="宋体" w:eastAsia="宋体" w:cs="宋体"/>
          <w:b/>
          <w:bCs/>
          <w:color w:val="auto"/>
          <w:sz w:val="28"/>
          <w:szCs w:val="28"/>
          <w:highlight w:val="none"/>
        </w:rPr>
        <w:t>第三章 评标办法</w:t>
      </w:r>
      <w:bookmarkEnd w:id="31"/>
    </w:p>
    <w:p w14:paraId="499215CA">
      <w:pPr>
        <w:pStyle w:val="23"/>
        <w:keepNext w:val="0"/>
        <w:keepLines w:val="0"/>
        <w:pageBreakBefore w:val="0"/>
        <w:widowControl w:val="0"/>
        <w:kinsoku/>
        <w:wordWrap/>
        <w:overflowPunct/>
        <w:topLinePunct w:val="0"/>
        <w:autoSpaceDE/>
        <w:autoSpaceDN/>
        <w:bidi w:val="0"/>
        <w:adjustRightInd w:val="0"/>
        <w:snapToGrid w:val="0"/>
        <w:spacing w:before="0" w:after="0" w:line="460" w:lineRule="atLeast"/>
        <w:ind w:left="0" w:leftChars="0" w:firstLine="0" w:firstLineChars="0"/>
        <w:textAlignment w:val="auto"/>
        <w:outlineLvl w:val="9"/>
        <w:rPr>
          <w:rFonts w:hint="eastAsia" w:ascii="宋体" w:hAnsi="宋体" w:eastAsia="宋体" w:cs="宋体"/>
          <w:color w:val="auto"/>
          <w:sz w:val="21"/>
          <w:szCs w:val="21"/>
          <w:highlight w:val="none"/>
        </w:rPr>
      </w:pPr>
      <w:bookmarkStart w:id="32" w:name="heading_25"/>
      <w:r>
        <w:rPr>
          <w:rFonts w:hint="eastAsia" w:ascii="宋体" w:hAnsi="宋体" w:eastAsia="宋体" w:cs="宋体"/>
          <w:color w:val="auto"/>
          <w:sz w:val="21"/>
          <w:szCs w:val="21"/>
          <w:highlight w:val="none"/>
        </w:rPr>
        <w:t>评标办法前附表</w:t>
      </w:r>
      <w:bookmarkEnd w:id="32"/>
    </w:p>
    <w:tbl>
      <w:tblPr>
        <w:tblStyle w:val="18"/>
        <w:tblW w:w="8521" w:type="dxa"/>
        <w:jc w:val="center"/>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Layout w:type="autofit"/>
        <w:tblCellMar>
          <w:top w:w="0" w:type="dxa"/>
          <w:left w:w="10" w:type="dxa"/>
          <w:bottom w:w="0" w:type="dxa"/>
          <w:right w:w="10" w:type="dxa"/>
        </w:tblCellMar>
      </w:tblPr>
      <w:tblGrid>
        <w:gridCol w:w="1066"/>
        <w:gridCol w:w="1360"/>
        <w:gridCol w:w="6095"/>
      </w:tblGrid>
      <w:tr w14:paraId="3B858416">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rPr>
          <w:trHeight w:val="0" w:hRule="atLeast"/>
          <w:tblHeader/>
          <w:jc w:val="center"/>
        </w:trPr>
        <w:tc>
          <w:tcPr>
            <w:tcW w:w="1066"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1C97C613">
            <w:pPr>
              <w:keepNext w:val="0"/>
              <w:keepLines w:val="0"/>
              <w:pageBreakBefore w:val="0"/>
              <w:widowControl w:val="0"/>
              <w:kinsoku/>
              <w:wordWrap/>
              <w:overflowPunct/>
              <w:topLinePunct w:val="0"/>
              <w:autoSpaceDE/>
              <w:autoSpaceDN/>
              <w:bidi w:val="0"/>
              <w:adjustRightInd w:val="0"/>
              <w:snapToGrid w:val="0"/>
              <w:spacing w:line="460" w:lineRule="atLeast"/>
              <w:ind w:left="0" w:leftChars="0" w:right="0" w:rightChars="0" w:firstLine="0" w:firstLineChars="0"/>
              <w:jc w:val="center"/>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条款</w:t>
            </w:r>
          </w:p>
        </w:tc>
        <w:tc>
          <w:tcPr>
            <w:tcW w:w="1360"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335A353C">
            <w:pPr>
              <w:keepNext w:val="0"/>
              <w:keepLines w:val="0"/>
              <w:pageBreakBefore w:val="0"/>
              <w:widowControl w:val="0"/>
              <w:kinsoku/>
              <w:wordWrap/>
              <w:overflowPunct/>
              <w:topLinePunct w:val="0"/>
              <w:autoSpaceDE/>
              <w:autoSpaceDN/>
              <w:bidi w:val="0"/>
              <w:adjustRightInd w:val="0"/>
              <w:snapToGrid w:val="0"/>
              <w:spacing w:line="460" w:lineRule="atLeast"/>
              <w:ind w:left="0" w:leftChars="0" w:right="0" w:rightChars="0" w:firstLine="0" w:firstLineChars="0"/>
              <w:jc w:val="center"/>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评审因素</w:t>
            </w:r>
          </w:p>
        </w:tc>
        <w:tc>
          <w:tcPr>
            <w:tcW w:w="6095"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6F0D9F4F">
            <w:pPr>
              <w:keepNext w:val="0"/>
              <w:keepLines w:val="0"/>
              <w:pageBreakBefore w:val="0"/>
              <w:widowControl w:val="0"/>
              <w:kinsoku/>
              <w:wordWrap/>
              <w:overflowPunct/>
              <w:topLinePunct w:val="0"/>
              <w:autoSpaceDE/>
              <w:autoSpaceDN/>
              <w:bidi w:val="0"/>
              <w:adjustRightInd w:val="0"/>
              <w:snapToGrid w:val="0"/>
              <w:spacing w:line="460" w:lineRule="atLeast"/>
              <w:ind w:left="0" w:leftChars="0" w:right="0" w:rightChars="0" w:firstLine="0" w:firstLineChars="0"/>
              <w:jc w:val="center"/>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评审标准</w:t>
            </w:r>
          </w:p>
        </w:tc>
      </w:tr>
      <w:tr w14:paraId="085229B3">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rPr>
          <w:trHeight w:val="0" w:hRule="atLeast"/>
          <w:jc w:val="center"/>
        </w:trPr>
        <w:tc>
          <w:tcPr>
            <w:tcW w:w="8521" w:type="dxa"/>
            <w:gridSpan w:val="3"/>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20B5E4AD">
            <w:pPr>
              <w:keepNext w:val="0"/>
              <w:keepLines w:val="0"/>
              <w:pageBreakBefore w:val="0"/>
              <w:widowControl w:val="0"/>
              <w:kinsoku/>
              <w:wordWrap/>
              <w:overflowPunct/>
              <w:topLinePunct w:val="0"/>
              <w:autoSpaceDE/>
              <w:autoSpaceDN/>
              <w:bidi w:val="0"/>
              <w:adjustRightInd w:val="0"/>
              <w:snapToGrid w:val="0"/>
              <w:spacing w:line="460" w:lineRule="atLeast"/>
              <w:ind w:left="0" w:leftChars="0" w:right="0" w:rightChars="0"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初步评审</w:t>
            </w:r>
          </w:p>
        </w:tc>
      </w:tr>
      <w:tr w14:paraId="6BB34017">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rPr>
          <w:trHeight w:val="0" w:hRule="atLeast"/>
          <w:jc w:val="center"/>
        </w:trPr>
        <w:tc>
          <w:tcPr>
            <w:tcW w:w="1066" w:type="dxa"/>
            <w:vMerge w:val="restart"/>
            <w:tcBorders>
              <w:top w:val="single" w:color="auto" w:sz="4" w:space="0"/>
              <w:left w:val="single" w:color="auto" w:sz="4" w:space="0"/>
              <w:right w:val="single" w:color="auto" w:sz="4" w:space="0"/>
            </w:tcBorders>
            <w:tcMar>
              <w:top w:w="60" w:type="dxa"/>
              <w:left w:w="120" w:type="dxa"/>
              <w:bottom w:w="30" w:type="dxa"/>
              <w:right w:w="120" w:type="dxa"/>
            </w:tcMar>
            <w:vAlign w:val="center"/>
          </w:tcPr>
          <w:p w14:paraId="1A479B47">
            <w:pPr>
              <w:keepNext w:val="0"/>
              <w:keepLines w:val="0"/>
              <w:pageBreakBefore w:val="0"/>
              <w:widowControl w:val="0"/>
              <w:kinsoku/>
              <w:wordWrap/>
              <w:overflowPunct/>
              <w:topLinePunct w:val="0"/>
              <w:autoSpaceDE/>
              <w:autoSpaceDN/>
              <w:bidi w:val="0"/>
              <w:adjustRightInd w:val="0"/>
              <w:snapToGrid w:val="0"/>
              <w:spacing w:line="460" w:lineRule="atLeast"/>
              <w:ind w:left="0" w:leftChars="0" w:right="0" w:rightChars="0"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资格及符合性评审</w:t>
            </w:r>
          </w:p>
        </w:tc>
        <w:tc>
          <w:tcPr>
            <w:tcW w:w="1360"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3940290F">
            <w:pPr>
              <w:keepNext w:val="0"/>
              <w:keepLines w:val="0"/>
              <w:pageBreakBefore w:val="0"/>
              <w:widowControl w:val="0"/>
              <w:kinsoku/>
              <w:wordWrap/>
              <w:overflowPunct/>
              <w:topLinePunct w:val="0"/>
              <w:autoSpaceDE/>
              <w:autoSpaceDN/>
              <w:bidi w:val="0"/>
              <w:adjustRightInd w:val="0"/>
              <w:snapToGrid w:val="0"/>
              <w:spacing w:line="460" w:lineRule="atLeast"/>
              <w:ind w:left="0" w:leftChars="0" w:right="0" w:rightChars="0"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营业执照</w:t>
            </w:r>
          </w:p>
        </w:tc>
        <w:tc>
          <w:tcPr>
            <w:tcW w:w="6095"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381CB9C3">
            <w:pPr>
              <w:keepNext w:val="0"/>
              <w:keepLines w:val="0"/>
              <w:pageBreakBefore w:val="0"/>
              <w:widowControl w:val="0"/>
              <w:kinsoku/>
              <w:wordWrap/>
              <w:overflowPunct/>
              <w:topLinePunct w:val="0"/>
              <w:autoSpaceDE/>
              <w:autoSpaceDN/>
              <w:bidi w:val="0"/>
              <w:adjustRightInd w:val="0"/>
              <w:snapToGrid w:val="0"/>
              <w:spacing w:line="460" w:lineRule="atLeast"/>
              <w:ind w:left="0" w:leftChars="0" w:right="0" w:rightChars="0"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投标人有效的营业执照</w:t>
            </w:r>
          </w:p>
        </w:tc>
      </w:tr>
      <w:tr w14:paraId="36FFA845">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rPr>
          <w:trHeight w:val="0" w:hRule="atLeast"/>
          <w:jc w:val="center"/>
        </w:trPr>
        <w:tc>
          <w:tcPr>
            <w:tcW w:w="1066" w:type="dxa"/>
            <w:vMerge w:val="continue"/>
            <w:tcBorders>
              <w:left w:val="single" w:color="auto" w:sz="4" w:space="0"/>
              <w:right w:val="single" w:color="auto" w:sz="4" w:space="0"/>
            </w:tcBorders>
            <w:tcMar>
              <w:top w:w="60" w:type="dxa"/>
              <w:left w:w="120" w:type="dxa"/>
              <w:bottom w:w="30" w:type="dxa"/>
              <w:right w:w="120" w:type="dxa"/>
            </w:tcMar>
            <w:vAlign w:val="center"/>
          </w:tcPr>
          <w:p w14:paraId="62727696">
            <w:pPr>
              <w:keepNext w:val="0"/>
              <w:keepLines w:val="0"/>
              <w:pageBreakBefore w:val="0"/>
              <w:widowControl w:val="0"/>
              <w:kinsoku/>
              <w:wordWrap/>
              <w:overflowPunct/>
              <w:topLinePunct w:val="0"/>
              <w:autoSpaceDE/>
              <w:autoSpaceDN/>
              <w:bidi w:val="0"/>
              <w:adjustRightInd w:val="0"/>
              <w:snapToGrid w:val="0"/>
              <w:spacing w:line="460" w:lineRule="atLeast"/>
              <w:ind w:left="0" w:leftChars="0" w:right="0" w:rightChars="0" w:firstLine="0" w:firstLineChars="0"/>
              <w:jc w:val="left"/>
              <w:textAlignment w:val="auto"/>
              <w:rPr>
                <w:rFonts w:hint="eastAsia" w:ascii="宋体" w:hAnsi="宋体" w:eastAsia="宋体" w:cs="宋体"/>
                <w:color w:val="auto"/>
                <w:sz w:val="21"/>
                <w:szCs w:val="21"/>
                <w:highlight w:val="none"/>
              </w:rPr>
            </w:pPr>
          </w:p>
        </w:tc>
        <w:tc>
          <w:tcPr>
            <w:tcW w:w="1360"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3614B3D8">
            <w:pPr>
              <w:keepNext w:val="0"/>
              <w:keepLines w:val="0"/>
              <w:pageBreakBefore w:val="0"/>
              <w:widowControl w:val="0"/>
              <w:kinsoku/>
              <w:wordWrap/>
              <w:overflowPunct/>
              <w:topLinePunct w:val="0"/>
              <w:autoSpaceDE/>
              <w:autoSpaceDN/>
              <w:bidi w:val="0"/>
              <w:adjustRightInd w:val="0"/>
              <w:snapToGrid w:val="0"/>
              <w:spacing w:line="460" w:lineRule="atLeast"/>
              <w:ind w:left="0" w:leftChars="0" w:right="0" w:rightChars="0"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项目负责人</w:t>
            </w:r>
          </w:p>
        </w:tc>
        <w:tc>
          <w:tcPr>
            <w:tcW w:w="6095"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16B96487">
            <w:pPr>
              <w:keepNext w:val="0"/>
              <w:keepLines w:val="0"/>
              <w:pageBreakBefore w:val="0"/>
              <w:widowControl w:val="0"/>
              <w:kinsoku/>
              <w:wordWrap/>
              <w:overflowPunct/>
              <w:topLinePunct w:val="0"/>
              <w:autoSpaceDE/>
              <w:autoSpaceDN/>
              <w:bidi w:val="0"/>
              <w:adjustRightInd w:val="0"/>
              <w:snapToGrid w:val="0"/>
              <w:spacing w:line="460" w:lineRule="atLeast"/>
              <w:ind w:left="0" w:leftChars="0" w:right="0" w:rightChars="0"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项目负责人有效的相关证书</w:t>
            </w:r>
          </w:p>
        </w:tc>
      </w:tr>
      <w:tr w14:paraId="18E946DB">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rPr>
          <w:trHeight w:val="0" w:hRule="atLeast"/>
          <w:jc w:val="center"/>
        </w:trPr>
        <w:tc>
          <w:tcPr>
            <w:tcW w:w="1066" w:type="dxa"/>
            <w:vMerge w:val="continue"/>
            <w:tcBorders>
              <w:left w:val="single" w:color="auto" w:sz="4" w:space="0"/>
              <w:right w:val="single" w:color="auto" w:sz="4" w:space="0"/>
            </w:tcBorders>
            <w:tcMar>
              <w:top w:w="60" w:type="dxa"/>
              <w:left w:w="120" w:type="dxa"/>
              <w:bottom w:w="30" w:type="dxa"/>
              <w:right w:w="120" w:type="dxa"/>
            </w:tcMar>
            <w:vAlign w:val="center"/>
          </w:tcPr>
          <w:p w14:paraId="656F5582">
            <w:pPr>
              <w:keepNext w:val="0"/>
              <w:keepLines w:val="0"/>
              <w:pageBreakBefore w:val="0"/>
              <w:widowControl w:val="0"/>
              <w:kinsoku/>
              <w:wordWrap/>
              <w:overflowPunct/>
              <w:topLinePunct w:val="0"/>
              <w:autoSpaceDE/>
              <w:autoSpaceDN/>
              <w:bidi w:val="0"/>
              <w:adjustRightInd w:val="0"/>
              <w:snapToGrid w:val="0"/>
              <w:spacing w:line="460" w:lineRule="atLeast"/>
              <w:ind w:left="0" w:leftChars="0" w:right="0" w:rightChars="0" w:firstLine="0" w:firstLineChars="0"/>
              <w:jc w:val="left"/>
              <w:textAlignment w:val="auto"/>
              <w:rPr>
                <w:rFonts w:hint="eastAsia" w:ascii="宋体" w:hAnsi="宋体" w:eastAsia="宋体" w:cs="宋体"/>
                <w:color w:val="auto"/>
                <w:sz w:val="21"/>
                <w:szCs w:val="21"/>
                <w:highlight w:val="none"/>
              </w:rPr>
            </w:pPr>
          </w:p>
        </w:tc>
        <w:tc>
          <w:tcPr>
            <w:tcW w:w="1360"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702BAD8B">
            <w:pPr>
              <w:keepNext w:val="0"/>
              <w:keepLines w:val="0"/>
              <w:pageBreakBefore w:val="0"/>
              <w:widowControl w:val="0"/>
              <w:kinsoku/>
              <w:wordWrap/>
              <w:overflowPunct/>
              <w:topLinePunct w:val="0"/>
              <w:autoSpaceDE/>
              <w:autoSpaceDN/>
              <w:bidi w:val="0"/>
              <w:adjustRightInd w:val="0"/>
              <w:snapToGrid w:val="0"/>
              <w:spacing w:line="460" w:lineRule="atLeast"/>
              <w:ind w:left="0" w:leftChars="0" w:right="0" w:rightChars="0"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投标人资质</w:t>
            </w:r>
          </w:p>
        </w:tc>
        <w:tc>
          <w:tcPr>
            <w:tcW w:w="6095"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17F6D174">
            <w:pPr>
              <w:keepNext w:val="0"/>
              <w:keepLines w:val="0"/>
              <w:pageBreakBefore w:val="0"/>
              <w:widowControl w:val="0"/>
              <w:kinsoku/>
              <w:wordWrap/>
              <w:overflowPunct/>
              <w:topLinePunct w:val="0"/>
              <w:autoSpaceDE/>
              <w:autoSpaceDN/>
              <w:bidi w:val="0"/>
              <w:adjustRightInd w:val="0"/>
              <w:snapToGrid w:val="0"/>
              <w:spacing w:line="460" w:lineRule="atLeast"/>
              <w:ind w:left="0" w:leftChars="0" w:right="0" w:rightChars="0"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具备</w:t>
            </w:r>
            <w:r>
              <w:rPr>
                <w:rFonts w:hint="eastAsia" w:ascii="宋体" w:hAnsi="宋体" w:eastAsia="宋体" w:cs="宋体"/>
                <w:color w:val="auto"/>
                <w:sz w:val="21"/>
                <w:szCs w:val="21"/>
                <w:highlight w:val="none"/>
                <w:lang w:val="en-US" w:eastAsia="zh-CN"/>
              </w:rPr>
              <w:t>有效的</w:t>
            </w:r>
            <w:r>
              <w:rPr>
                <w:rFonts w:hint="eastAsia" w:ascii="宋体" w:hAnsi="宋体" w:eastAsia="宋体" w:cs="宋体"/>
                <w:color w:val="auto"/>
                <w:sz w:val="21"/>
                <w:szCs w:val="21"/>
                <w:highlight w:val="none"/>
              </w:rPr>
              <w:t>资质</w:t>
            </w:r>
            <w:r>
              <w:rPr>
                <w:rFonts w:hint="eastAsia" w:ascii="宋体" w:hAnsi="宋体" w:eastAsia="宋体" w:cs="宋体"/>
                <w:color w:val="auto"/>
                <w:sz w:val="21"/>
                <w:szCs w:val="21"/>
                <w:highlight w:val="none"/>
                <w:lang w:val="en-US" w:eastAsia="zh-CN"/>
              </w:rPr>
              <w:t>证书</w:t>
            </w:r>
            <w:r>
              <w:rPr>
                <w:rFonts w:hint="eastAsia" w:ascii="宋体" w:hAnsi="宋体" w:eastAsia="宋体" w:cs="宋体"/>
                <w:color w:val="auto"/>
                <w:sz w:val="21"/>
                <w:szCs w:val="21"/>
                <w:highlight w:val="none"/>
              </w:rPr>
              <w:t>和有效的安全生产许可证</w:t>
            </w:r>
          </w:p>
        </w:tc>
      </w:tr>
      <w:tr w14:paraId="2DFBE9DE">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rPr>
          <w:trHeight w:val="0" w:hRule="atLeast"/>
          <w:jc w:val="center"/>
        </w:trPr>
        <w:tc>
          <w:tcPr>
            <w:tcW w:w="1066" w:type="dxa"/>
            <w:vMerge w:val="continue"/>
            <w:tcBorders>
              <w:left w:val="single" w:color="auto" w:sz="4" w:space="0"/>
              <w:right w:val="single" w:color="auto" w:sz="4" w:space="0"/>
            </w:tcBorders>
            <w:tcMar>
              <w:top w:w="60" w:type="dxa"/>
              <w:left w:w="120" w:type="dxa"/>
              <w:bottom w:w="30" w:type="dxa"/>
              <w:right w:w="120" w:type="dxa"/>
            </w:tcMar>
            <w:vAlign w:val="center"/>
          </w:tcPr>
          <w:p w14:paraId="157610EA">
            <w:pPr>
              <w:keepNext w:val="0"/>
              <w:keepLines w:val="0"/>
              <w:pageBreakBefore w:val="0"/>
              <w:widowControl w:val="0"/>
              <w:kinsoku/>
              <w:wordWrap/>
              <w:overflowPunct/>
              <w:topLinePunct w:val="0"/>
              <w:autoSpaceDE/>
              <w:autoSpaceDN/>
              <w:bidi w:val="0"/>
              <w:adjustRightInd w:val="0"/>
              <w:snapToGrid w:val="0"/>
              <w:spacing w:line="460" w:lineRule="atLeast"/>
              <w:ind w:left="0" w:leftChars="0" w:right="0" w:rightChars="0" w:firstLine="0" w:firstLineChars="0"/>
              <w:jc w:val="left"/>
              <w:textAlignment w:val="auto"/>
              <w:rPr>
                <w:rFonts w:hint="eastAsia" w:ascii="宋体" w:hAnsi="宋体" w:eastAsia="宋体" w:cs="宋体"/>
                <w:color w:val="auto"/>
                <w:sz w:val="21"/>
                <w:szCs w:val="21"/>
                <w:highlight w:val="none"/>
              </w:rPr>
            </w:pPr>
          </w:p>
        </w:tc>
        <w:tc>
          <w:tcPr>
            <w:tcW w:w="1360"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7A62DE80">
            <w:pPr>
              <w:keepNext w:val="0"/>
              <w:keepLines w:val="0"/>
              <w:pageBreakBefore w:val="0"/>
              <w:widowControl w:val="0"/>
              <w:kinsoku/>
              <w:wordWrap/>
              <w:overflowPunct/>
              <w:topLinePunct w:val="0"/>
              <w:autoSpaceDE/>
              <w:autoSpaceDN/>
              <w:bidi w:val="0"/>
              <w:adjustRightInd w:val="0"/>
              <w:snapToGrid w:val="0"/>
              <w:spacing w:line="460" w:lineRule="atLeast"/>
              <w:ind w:left="0" w:leftChars="0" w:right="0" w:rightChars="0"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投标人名称</w:t>
            </w:r>
          </w:p>
        </w:tc>
        <w:tc>
          <w:tcPr>
            <w:tcW w:w="6095"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2EEE0CAF">
            <w:pPr>
              <w:keepNext w:val="0"/>
              <w:keepLines w:val="0"/>
              <w:pageBreakBefore w:val="0"/>
              <w:widowControl w:val="0"/>
              <w:kinsoku/>
              <w:wordWrap/>
              <w:overflowPunct/>
              <w:topLinePunct w:val="0"/>
              <w:autoSpaceDE/>
              <w:autoSpaceDN/>
              <w:bidi w:val="0"/>
              <w:adjustRightInd w:val="0"/>
              <w:snapToGrid w:val="0"/>
              <w:spacing w:line="460" w:lineRule="atLeast"/>
              <w:ind w:left="0" w:leftChars="0" w:right="0" w:rightChars="0"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与相关证书一致（如企业更名，提供有效证明材料，视同一致）</w:t>
            </w:r>
          </w:p>
        </w:tc>
      </w:tr>
      <w:tr w14:paraId="6D4E5FE8">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rPr>
          <w:trHeight w:val="0" w:hRule="atLeast"/>
          <w:jc w:val="center"/>
        </w:trPr>
        <w:tc>
          <w:tcPr>
            <w:tcW w:w="1066" w:type="dxa"/>
            <w:vMerge w:val="continue"/>
            <w:tcBorders>
              <w:left w:val="single" w:color="auto" w:sz="4" w:space="0"/>
              <w:right w:val="single" w:color="auto" w:sz="4" w:space="0"/>
            </w:tcBorders>
            <w:tcMar>
              <w:top w:w="60" w:type="dxa"/>
              <w:left w:w="120" w:type="dxa"/>
              <w:bottom w:w="30" w:type="dxa"/>
              <w:right w:w="120" w:type="dxa"/>
            </w:tcMar>
            <w:vAlign w:val="center"/>
          </w:tcPr>
          <w:p w14:paraId="085C2DE1">
            <w:pPr>
              <w:keepNext w:val="0"/>
              <w:keepLines w:val="0"/>
              <w:pageBreakBefore w:val="0"/>
              <w:widowControl w:val="0"/>
              <w:kinsoku/>
              <w:wordWrap/>
              <w:overflowPunct/>
              <w:topLinePunct w:val="0"/>
              <w:autoSpaceDE/>
              <w:autoSpaceDN/>
              <w:bidi w:val="0"/>
              <w:adjustRightInd w:val="0"/>
              <w:snapToGrid w:val="0"/>
              <w:spacing w:line="460" w:lineRule="atLeast"/>
              <w:ind w:left="0" w:leftChars="0" w:right="0" w:rightChars="0" w:firstLine="0" w:firstLineChars="0"/>
              <w:jc w:val="left"/>
              <w:textAlignment w:val="auto"/>
              <w:rPr>
                <w:rFonts w:hint="eastAsia" w:ascii="宋体" w:hAnsi="宋体" w:eastAsia="宋体" w:cs="宋体"/>
                <w:color w:val="auto"/>
                <w:sz w:val="21"/>
                <w:szCs w:val="21"/>
                <w:highlight w:val="none"/>
              </w:rPr>
            </w:pPr>
          </w:p>
        </w:tc>
        <w:tc>
          <w:tcPr>
            <w:tcW w:w="1360"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64664B96">
            <w:pPr>
              <w:keepNext w:val="0"/>
              <w:keepLines w:val="0"/>
              <w:pageBreakBefore w:val="0"/>
              <w:widowControl w:val="0"/>
              <w:kinsoku/>
              <w:wordWrap/>
              <w:overflowPunct/>
              <w:topLinePunct w:val="0"/>
              <w:autoSpaceDE/>
              <w:autoSpaceDN/>
              <w:bidi w:val="0"/>
              <w:adjustRightInd w:val="0"/>
              <w:snapToGrid w:val="0"/>
              <w:spacing w:line="460" w:lineRule="atLeast"/>
              <w:ind w:left="0" w:leftChars="0" w:right="0" w:rightChars="0"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投标函签字盖章</w:t>
            </w:r>
          </w:p>
        </w:tc>
        <w:tc>
          <w:tcPr>
            <w:tcW w:w="6095"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4E324036">
            <w:pPr>
              <w:keepNext w:val="0"/>
              <w:keepLines w:val="0"/>
              <w:pageBreakBefore w:val="0"/>
              <w:widowControl w:val="0"/>
              <w:kinsoku/>
              <w:wordWrap/>
              <w:overflowPunct/>
              <w:topLinePunct w:val="0"/>
              <w:autoSpaceDE/>
              <w:autoSpaceDN/>
              <w:bidi w:val="0"/>
              <w:adjustRightInd w:val="0"/>
              <w:snapToGrid w:val="0"/>
              <w:spacing w:line="460" w:lineRule="atLeast"/>
              <w:ind w:left="0" w:leftChars="0" w:right="0" w:rightChars="0"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符合招标文件签署规定。</w:t>
            </w:r>
          </w:p>
        </w:tc>
      </w:tr>
      <w:tr w14:paraId="4DDFCC6D">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rPr>
          <w:trHeight w:val="0" w:hRule="atLeast"/>
          <w:jc w:val="center"/>
        </w:trPr>
        <w:tc>
          <w:tcPr>
            <w:tcW w:w="1066" w:type="dxa"/>
            <w:vMerge w:val="continue"/>
            <w:tcBorders>
              <w:left w:val="single" w:color="auto" w:sz="4" w:space="0"/>
              <w:right w:val="single" w:color="auto" w:sz="4" w:space="0"/>
            </w:tcBorders>
            <w:tcMar>
              <w:top w:w="60" w:type="dxa"/>
              <w:left w:w="120" w:type="dxa"/>
              <w:bottom w:w="30" w:type="dxa"/>
              <w:right w:w="120" w:type="dxa"/>
            </w:tcMar>
            <w:vAlign w:val="center"/>
          </w:tcPr>
          <w:p w14:paraId="72A72769">
            <w:pPr>
              <w:keepNext w:val="0"/>
              <w:keepLines w:val="0"/>
              <w:pageBreakBefore w:val="0"/>
              <w:widowControl w:val="0"/>
              <w:kinsoku/>
              <w:wordWrap/>
              <w:overflowPunct/>
              <w:topLinePunct w:val="0"/>
              <w:autoSpaceDE/>
              <w:autoSpaceDN/>
              <w:bidi w:val="0"/>
              <w:adjustRightInd w:val="0"/>
              <w:snapToGrid w:val="0"/>
              <w:spacing w:line="460" w:lineRule="atLeast"/>
              <w:ind w:left="0" w:leftChars="0" w:right="0" w:rightChars="0" w:firstLine="0" w:firstLineChars="0"/>
              <w:jc w:val="left"/>
              <w:textAlignment w:val="auto"/>
              <w:rPr>
                <w:rFonts w:hint="eastAsia" w:ascii="宋体" w:hAnsi="宋体" w:eastAsia="宋体" w:cs="宋体"/>
                <w:color w:val="auto"/>
                <w:sz w:val="21"/>
                <w:szCs w:val="21"/>
                <w:highlight w:val="none"/>
              </w:rPr>
            </w:pPr>
          </w:p>
        </w:tc>
        <w:tc>
          <w:tcPr>
            <w:tcW w:w="1360"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690387C1">
            <w:pPr>
              <w:keepNext w:val="0"/>
              <w:keepLines w:val="0"/>
              <w:pageBreakBefore w:val="0"/>
              <w:widowControl w:val="0"/>
              <w:kinsoku/>
              <w:wordWrap/>
              <w:overflowPunct/>
              <w:topLinePunct w:val="0"/>
              <w:autoSpaceDE/>
              <w:autoSpaceDN/>
              <w:bidi w:val="0"/>
              <w:adjustRightInd w:val="0"/>
              <w:snapToGrid w:val="0"/>
              <w:spacing w:line="460" w:lineRule="atLeast"/>
              <w:ind w:left="0" w:leftChars="0" w:right="0" w:rightChars="0"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投标文件组成及格式</w:t>
            </w:r>
          </w:p>
        </w:tc>
        <w:tc>
          <w:tcPr>
            <w:tcW w:w="6095"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0B22B7B0">
            <w:pPr>
              <w:keepNext w:val="0"/>
              <w:keepLines w:val="0"/>
              <w:pageBreakBefore w:val="0"/>
              <w:widowControl w:val="0"/>
              <w:kinsoku/>
              <w:wordWrap/>
              <w:overflowPunct/>
              <w:topLinePunct w:val="0"/>
              <w:autoSpaceDE/>
              <w:autoSpaceDN/>
              <w:bidi w:val="0"/>
              <w:adjustRightInd w:val="0"/>
              <w:snapToGrid w:val="0"/>
              <w:spacing w:line="460" w:lineRule="atLeast"/>
              <w:ind w:left="0" w:leftChars="0" w:right="0" w:rightChars="0"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符合招标文件规定</w:t>
            </w:r>
          </w:p>
        </w:tc>
      </w:tr>
      <w:tr w14:paraId="3AC908F2">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rPr>
          <w:trHeight w:val="0" w:hRule="atLeast"/>
          <w:jc w:val="center"/>
        </w:trPr>
        <w:tc>
          <w:tcPr>
            <w:tcW w:w="1066" w:type="dxa"/>
            <w:vMerge w:val="continue"/>
            <w:tcBorders>
              <w:left w:val="single" w:color="auto" w:sz="4" w:space="0"/>
              <w:right w:val="single" w:color="auto" w:sz="4" w:space="0"/>
            </w:tcBorders>
            <w:tcMar>
              <w:top w:w="60" w:type="dxa"/>
              <w:left w:w="120" w:type="dxa"/>
              <w:bottom w:w="30" w:type="dxa"/>
              <w:right w:w="120" w:type="dxa"/>
            </w:tcMar>
            <w:vAlign w:val="center"/>
          </w:tcPr>
          <w:p w14:paraId="79F42112">
            <w:pPr>
              <w:keepNext w:val="0"/>
              <w:keepLines w:val="0"/>
              <w:pageBreakBefore w:val="0"/>
              <w:widowControl w:val="0"/>
              <w:kinsoku/>
              <w:wordWrap/>
              <w:overflowPunct/>
              <w:topLinePunct w:val="0"/>
              <w:autoSpaceDE/>
              <w:autoSpaceDN/>
              <w:bidi w:val="0"/>
              <w:adjustRightInd w:val="0"/>
              <w:snapToGrid w:val="0"/>
              <w:spacing w:line="460" w:lineRule="atLeast"/>
              <w:ind w:left="0" w:leftChars="0" w:right="0" w:rightChars="0" w:firstLine="0" w:firstLineChars="0"/>
              <w:jc w:val="left"/>
              <w:textAlignment w:val="auto"/>
              <w:rPr>
                <w:rFonts w:hint="eastAsia" w:ascii="宋体" w:hAnsi="宋体" w:eastAsia="宋体" w:cs="宋体"/>
                <w:color w:val="auto"/>
                <w:sz w:val="21"/>
                <w:szCs w:val="21"/>
                <w:highlight w:val="none"/>
              </w:rPr>
            </w:pPr>
          </w:p>
        </w:tc>
        <w:tc>
          <w:tcPr>
            <w:tcW w:w="1360"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420F4934">
            <w:pPr>
              <w:keepNext w:val="0"/>
              <w:keepLines w:val="0"/>
              <w:pageBreakBefore w:val="0"/>
              <w:widowControl w:val="0"/>
              <w:kinsoku/>
              <w:wordWrap/>
              <w:overflowPunct/>
              <w:topLinePunct w:val="0"/>
              <w:autoSpaceDE/>
              <w:autoSpaceDN/>
              <w:bidi w:val="0"/>
              <w:adjustRightInd w:val="0"/>
              <w:snapToGrid w:val="0"/>
              <w:spacing w:line="460" w:lineRule="atLeast"/>
              <w:ind w:left="0" w:leftChars="0" w:right="0" w:rightChars="0"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投标报价</w:t>
            </w:r>
          </w:p>
        </w:tc>
        <w:tc>
          <w:tcPr>
            <w:tcW w:w="6095"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5EB2C141">
            <w:pPr>
              <w:keepNext w:val="0"/>
              <w:keepLines w:val="0"/>
              <w:pageBreakBefore w:val="0"/>
              <w:widowControl w:val="0"/>
              <w:kinsoku/>
              <w:wordWrap/>
              <w:overflowPunct/>
              <w:topLinePunct w:val="0"/>
              <w:autoSpaceDE/>
              <w:autoSpaceDN/>
              <w:bidi w:val="0"/>
              <w:adjustRightInd w:val="0"/>
              <w:snapToGrid w:val="0"/>
              <w:spacing w:line="460" w:lineRule="atLeast"/>
              <w:ind w:left="0" w:leftChars="0" w:right="0" w:rightChars="0"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报价唯一、不低于成本、不高于最高投标限价</w:t>
            </w:r>
          </w:p>
        </w:tc>
      </w:tr>
      <w:tr w14:paraId="5CF3290B">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rPr>
          <w:trHeight w:val="0" w:hRule="atLeast"/>
          <w:jc w:val="center"/>
        </w:trPr>
        <w:tc>
          <w:tcPr>
            <w:tcW w:w="1066" w:type="dxa"/>
            <w:vMerge w:val="continue"/>
            <w:tcBorders>
              <w:left w:val="single" w:color="auto" w:sz="4" w:space="0"/>
              <w:right w:val="single" w:color="auto" w:sz="4" w:space="0"/>
            </w:tcBorders>
            <w:tcMar>
              <w:top w:w="60" w:type="dxa"/>
              <w:left w:w="120" w:type="dxa"/>
              <w:bottom w:w="30" w:type="dxa"/>
              <w:right w:w="120" w:type="dxa"/>
            </w:tcMar>
            <w:vAlign w:val="center"/>
          </w:tcPr>
          <w:p w14:paraId="65AAD1E1">
            <w:pPr>
              <w:keepNext w:val="0"/>
              <w:keepLines w:val="0"/>
              <w:pageBreakBefore w:val="0"/>
              <w:widowControl w:val="0"/>
              <w:kinsoku/>
              <w:wordWrap/>
              <w:overflowPunct/>
              <w:topLinePunct w:val="0"/>
              <w:autoSpaceDE/>
              <w:autoSpaceDN/>
              <w:bidi w:val="0"/>
              <w:adjustRightInd w:val="0"/>
              <w:snapToGrid w:val="0"/>
              <w:spacing w:line="460" w:lineRule="atLeast"/>
              <w:ind w:left="0" w:leftChars="0" w:right="0" w:rightChars="0" w:firstLine="0" w:firstLineChars="0"/>
              <w:jc w:val="left"/>
              <w:textAlignment w:val="auto"/>
              <w:rPr>
                <w:rFonts w:hint="eastAsia" w:ascii="宋体" w:hAnsi="宋体" w:eastAsia="宋体" w:cs="宋体"/>
                <w:color w:val="auto"/>
                <w:sz w:val="21"/>
                <w:szCs w:val="21"/>
                <w:highlight w:val="none"/>
              </w:rPr>
            </w:pPr>
          </w:p>
        </w:tc>
        <w:tc>
          <w:tcPr>
            <w:tcW w:w="1360"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221EEE86">
            <w:pPr>
              <w:keepNext w:val="0"/>
              <w:keepLines w:val="0"/>
              <w:pageBreakBefore w:val="0"/>
              <w:widowControl w:val="0"/>
              <w:kinsoku/>
              <w:wordWrap/>
              <w:overflowPunct/>
              <w:topLinePunct w:val="0"/>
              <w:autoSpaceDE/>
              <w:autoSpaceDN/>
              <w:bidi w:val="0"/>
              <w:adjustRightInd w:val="0"/>
              <w:snapToGrid w:val="0"/>
              <w:spacing w:line="460" w:lineRule="atLeast"/>
              <w:ind w:left="0" w:leftChars="0" w:right="0" w:rightChars="0"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投标保证金</w:t>
            </w:r>
          </w:p>
        </w:tc>
        <w:tc>
          <w:tcPr>
            <w:tcW w:w="6095"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1FFC5849">
            <w:pPr>
              <w:keepNext w:val="0"/>
              <w:keepLines w:val="0"/>
              <w:pageBreakBefore w:val="0"/>
              <w:widowControl w:val="0"/>
              <w:kinsoku/>
              <w:wordWrap/>
              <w:overflowPunct/>
              <w:topLinePunct w:val="0"/>
              <w:autoSpaceDE/>
              <w:autoSpaceDN/>
              <w:bidi w:val="0"/>
              <w:adjustRightInd w:val="0"/>
              <w:snapToGrid w:val="0"/>
              <w:spacing w:line="460" w:lineRule="atLeast"/>
              <w:ind w:left="0" w:leftChars="0" w:right="0" w:rightChars="0"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符合招标文件规定</w:t>
            </w:r>
          </w:p>
        </w:tc>
      </w:tr>
      <w:tr w14:paraId="1F9B980F">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rPr>
          <w:trHeight w:val="0" w:hRule="atLeast"/>
          <w:jc w:val="center"/>
        </w:trPr>
        <w:tc>
          <w:tcPr>
            <w:tcW w:w="1066" w:type="dxa"/>
            <w:vMerge w:val="continue"/>
            <w:tcBorders>
              <w:left w:val="single" w:color="auto" w:sz="4" w:space="0"/>
              <w:right w:val="single" w:color="auto" w:sz="4" w:space="0"/>
            </w:tcBorders>
            <w:tcMar>
              <w:top w:w="60" w:type="dxa"/>
              <w:left w:w="120" w:type="dxa"/>
              <w:bottom w:w="30" w:type="dxa"/>
              <w:right w:w="120" w:type="dxa"/>
            </w:tcMar>
            <w:vAlign w:val="center"/>
          </w:tcPr>
          <w:p w14:paraId="36BAB9C2">
            <w:pPr>
              <w:keepNext w:val="0"/>
              <w:keepLines w:val="0"/>
              <w:pageBreakBefore w:val="0"/>
              <w:widowControl w:val="0"/>
              <w:kinsoku/>
              <w:wordWrap/>
              <w:overflowPunct/>
              <w:topLinePunct w:val="0"/>
              <w:autoSpaceDE/>
              <w:autoSpaceDN/>
              <w:bidi w:val="0"/>
              <w:adjustRightInd w:val="0"/>
              <w:snapToGrid w:val="0"/>
              <w:spacing w:line="460" w:lineRule="atLeast"/>
              <w:ind w:left="0" w:leftChars="0" w:right="0" w:rightChars="0" w:firstLine="0" w:firstLineChars="0"/>
              <w:jc w:val="left"/>
              <w:textAlignment w:val="auto"/>
              <w:rPr>
                <w:rFonts w:hint="eastAsia" w:ascii="宋体" w:hAnsi="宋体" w:eastAsia="宋体" w:cs="宋体"/>
                <w:color w:val="auto"/>
                <w:sz w:val="21"/>
                <w:szCs w:val="21"/>
                <w:highlight w:val="none"/>
              </w:rPr>
            </w:pPr>
          </w:p>
        </w:tc>
        <w:tc>
          <w:tcPr>
            <w:tcW w:w="1360"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658EE9BC">
            <w:pPr>
              <w:keepNext w:val="0"/>
              <w:keepLines w:val="0"/>
              <w:pageBreakBefore w:val="0"/>
              <w:widowControl w:val="0"/>
              <w:kinsoku/>
              <w:wordWrap/>
              <w:overflowPunct/>
              <w:topLinePunct w:val="0"/>
              <w:autoSpaceDE/>
              <w:autoSpaceDN/>
              <w:bidi w:val="0"/>
              <w:adjustRightInd w:val="0"/>
              <w:snapToGrid w:val="0"/>
              <w:spacing w:line="460" w:lineRule="atLeast"/>
              <w:ind w:left="0" w:leftChars="0" w:right="0" w:rightChars="0"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服务期</w:t>
            </w:r>
          </w:p>
        </w:tc>
        <w:tc>
          <w:tcPr>
            <w:tcW w:w="6095"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166A9F8E">
            <w:pPr>
              <w:keepNext w:val="0"/>
              <w:keepLines w:val="0"/>
              <w:pageBreakBefore w:val="0"/>
              <w:widowControl w:val="0"/>
              <w:kinsoku/>
              <w:wordWrap/>
              <w:overflowPunct/>
              <w:topLinePunct w:val="0"/>
              <w:autoSpaceDE/>
              <w:autoSpaceDN/>
              <w:bidi w:val="0"/>
              <w:adjustRightInd w:val="0"/>
              <w:snapToGrid w:val="0"/>
              <w:spacing w:line="460" w:lineRule="atLeast"/>
              <w:ind w:left="0" w:leftChars="0" w:right="0" w:rightChars="0"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符合招标文件规定</w:t>
            </w:r>
          </w:p>
        </w:tc>
      </w:tr>
      <w:tr w14:paraId="27CBE77B">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rPr>
          <w:trHeight w:val="0" w:hRule="atLeast"/>
          <w:jc w:val="center"/>
        </w:trPr>
        <w:tc>
          <w:tcPr>
            <w:tcW w:w="1066" w:type="dxa"/>
            <w:vMerge w:val="continue"/>
            <w:tcBorders>
              <w:left w:val="single" w:color="auto" w:sz="4" w:space="0"/>
              <w:right w:val="single" w:color="auto" w:sz="4" w:space="0"/>
            </w:tcBorders>
            <w:tcMar>
              <w:top w:w="60" w:type="dxa"/>
              <w:left w:w="120" w:type="dxa"/>
              <w:bottom w:w="30" w:type="dxa"/>
              <w:right w:w="120" w:type="dxa"/>
            </w:tcMar>
            <w:vAlign w:val="center"/>
          </w:tcPr>
          <w:p w14:paraId="45283623">
            <w:pPr>
              <w:keepNext w:val="0"/>
              <w:keepLines w:val="0"/>
              <w:pageBreakBefore w:val="0"/>
              <w:widowControl w:val="0"/>
              <w:kinsoku/>
              <w:wordWrap/>
              <w:overflowPunct/>
              <w:topLinePunct w:val="0"/>
              <w:autoSpaceDE/>
              <w:autoSpaceDN/>
              <w:bidi w:val="0"/>
              <w:adjustRightInd w:val="0"/>
              <w:snapToGrid w:val="0"/>
              <w:spacing w:line="460" w:lineRule="atLeast"/>
              <w:ind w:left="0" w:leftChars="0" w:right="0" w:rightChars="0" w:firstLine="0" w:firstLineChars="0"/>
              <w:jc w:val="left"/>
              <w:textAlignment w:val="auto"/>
              <w:rPr>
                <w:rFonts w:hint="eastAsia" w:ascii="宋体" w:hAnsi="宋体" w:eastAsia="宋体" w:cs="宋体"/>
                <w:color w:val="auto"/>
                <w:sz w:val="21"/>
                <w:szCs w:val="21"/>
                <w:highlight w:val="none"/>
              </w:rPr>
            </w:pPr>
          </w:p>
        </w:tc>
        <w:tc>
          <w:tcPr>
            <w:tcW w:w="1360"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39B776E3">
            <w:pPr>
              <w:keepNext w:val="0"/>
              <w:keepLines w:val="0"/>
              <w:pageBreakBefore w:val="0"/>
              <w:widowControl w:val="0"/>
              <w:kinsoku/>
              <w:wordWrap/>
              <w:overflowPunct/>
              <w:topLinePunct w:val="0"/>
              <w:autoSpaceDE/>
              <w:autoSpaceDN/>
              <w:bidi w:val="0"/>
              <w:adjustRightInd w:val="0"/>
              <w:snapToGrid w:val="0"/>
              <w:spacing w:line="460" w:lineRule="atLeast"/>
              <w:ind w:left="0" w:leftChars="0" w:right="0" w:rightChars="0"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质量要求</w:t>
            </w:r>
          </w:p>
        </w:tc>
        <w:tc>
          <w:tcPr>
            <w:tcW w:w="6095"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35F6F6D0">
            <w:pPr>
              <w:keepNext w:val="0"/>
              <w:keepLines w:val="0"/>
              <w:pageBreakBefore w:val="0"/>
              <w:widowControl w:val="0"/>
              <w:kinsoku/>
              <w:wordWrap/>
              <w:overflowPunct/>
              <w:topLinePunct w:val="0"/>
              <w:autoSpaceDE/>
              <w:autoSpaceDN/>
              <w:bidi w:val="0"/>
              <w:adjustRightInd w:val="0"/>
              <w:snapToGrid w:val="0"/>
              <w:spacing w:line="460" w:lineRule="atLeast"/>
              <w:ind w:left="0" w:leftChars="0" w:right="0" w:rightChars="0"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符合招标文件规定</w:t>
            </w:r>
          </w:p>
        </w:tc>
      </w:tr>
      <w:tr w14:paraId="0F561669">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rPr>
          <w:trHeight w:val="0" w:hRule="atLeast"/>
          <w:jc w:val="center"/>
        </w:trPr>
        <w:tc>
          <w:tcPr>
            <w:tcW w:w="1066" w:type="dxa"/>
            <w:vMerge w:val="continue"/>
            <w:tcBorders>
              <w:left w:val="single" w:color="auto" w:sz="4" w:space="0"/>
              <w:right w:val="single" w:color="auto" w:sz="4" w:space="0"/>
            </w:tcBorders>
            <w:tcMar>
              <w:top w:w="60" w:type="dxa"/>
              <w:left w:w="120" w:type="dxa"/>
              <w:bottom w:w="30" w:type="dxa"/>
              <w:right w:w="120" w:type="dxa"/>
            </w:tcMar>
            <w:vAlign w:val="center"/>
          </w:tcPr>
          <w:p w14:paraId="0DF851C9">
            <w:pPr>
              <w:keepNext w:val="0"/>
              <w:keepLines w:val="0"/>
              <w:pageBreakBefore w:val="0"/>
              <w:widowControl w:val="0"/>
              <w:kinsoku/>
              <w:wordWrap/>
              <w:overflowPunct/>
              <w:topLinePunct w:val="0"/>
              <w:autoSpaceDE/>
              <w:autoSpaceDN/>
              <w:bidi w:val="0"/>
              <w:adjustRightInd w:val="0"/>
              <w:snapToGrid w:val="0"/>
              <w:spacing w:line="460" w:lineRule="atLeast"/>
              <w:ind w:left="0" w:leftChars="0" w:right="0" w:rightChars="0" w:firstLine="0" w:firstLineChars="0"/>
              <w:jc w:val="left"/>
              <w:textAlignment w:val="auto"/>
              <w:rPr>
                <w:rFonts w:hint="eastAsia" w:ascii="宋体" w:hAnsi="宋体" w:eastAsia="宋体" w:cs="宋体"/>
                <w:color w:val="auto"/>
                <w:sz w:val="21"/>
                <w:szCs w:val="21"/>
                <w:highlight w:val="none"/>
              </w:rPr>
            </w:pPr>
          </w:p>
        </w:tc>
        <w:tc>
          <w:tcPr>
            <w:tcW w:w="1360"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036C754D">
            <w:pPr>
              <w:keepNext w:val="0"/>
              <w:keepLines w:val="0"/>
              <w:pageBreakBefore w:val="0"/>
              <w:widowControl w:val="0"/>
              <w:kinsoku/>
              <w:wordWrap/>
              <w:overflowPunct/>
              <w:topLinePunct w:val="0"/>
              <w:autoSpaceDE/>
              <w:autoSpaceDN/>
              <w:bidi w:val="0"/>
              <w:adjustRightInd w:val="0"/>
              <w:snapToGrid w:val="0"/>
              <w:spacing w:line="460" w:lineRule="atLeast"/>
              <w:ind w:left="0" w:leftChars="0" w:right="0" w:rightChars="0"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付款方式</w:t>
            </w:r>
          </w:p>
        </w:tc>
        <w:tc>
          <w:tcPr>
            <w:tcW w:w="6095"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3F086BF6">
            <w:pPr>
              <w:keepNext w:val="0"/>
              <w:keepLines w:val="0"/>
              <w:pageBreakBefore w:val="0"/>
              <w:widowControl w:val="0"/>
              <w:kinsoku/>
              <w:wordWrap/>
              <w:overflowPunct/>
              <w:topLinePunct w:val="0"/>
              <w:autoSpaceDE/>
              <w:autoSpaceDN/>
              <w:bidi w:val="0"/>
              <w:adjustRightInd w:val="0"/>
              <w:snapToGrid w:val="0"/>
              <w:spacing w:line="460" w:lineRule="atLeast"/>
              <w:ind w:left="0" w:leftChars="0" w:right="0" w:rightChars="0"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符合招标文件规定</w:t>
            </w:r>
          </w:p>
        </w:tc>
      </w:tr>
      <w:tr w14:paraId="2E04DF45">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rPr>
          <w:trHeight w:val="0" w:hRule="atLeast"/>
          <w:jc w:val="center"/>
        </w:trPr>
        <w:tc>
          <w:tcPr>
            <w:tcW w:w="1066" w:type="dxa"/>
            <w:vMerge w:val="continue"/>
            <w:tcBorders>
              <w:left w:val="single" w:color="auto" w:sz="4" w:space="0"/>
              <w:right w:val="single" w:color="auto" w:sz="4" w:space="0"/>
            </w:tcBorders>
            <w:tcMar>
              <w:top w:w="60" w:type="dxa"/>
              <w:left w:w="120" w:type="dxa"/>
              <w:bottom w:w="30" w:type="dxa"/>
              <w:right w:w="120" w:type="dxa"/>
            </w:tcMar>
            <w:vAlign w:val="center"/>
          </w:tcPr>
          <w:p w14:paraId="1365384F">
            <w:pPr>
              <w:keepNext w:val="0"/>
              <w:keepLines w:val="0"/>
              <w:pageBreakBefore w:val="0"/>
              <w:widowControl w:val="0"/>
              <w:kinsoku/>
              <w:wordWrap/>
              <w:overflowPunct/>
              <w:topLinePunct w:val="0"/>
              <w:autoSpaceDE/>
              <w:autoSpaceDN/>
              <w:bidi w:val="0"/>
              <w:adjustRightInd w:val="0"/>
              <w:snapToGrid w:val="0"/>
              <w:spacing w:line="460" w:lineRule="atLeast"/>
              <w:ind w:left="0" w:leftChars="0" w:right="0" w:rightChars="0" w:firstLine="0" w:firstLineChars="0"/>
              <w:jc w:val="left"/>
              <w:textAlignment w:val="auto"/>
              <w:rPr>
                <w:rFonts w:hint="eastAsia" w:ascii="宋体" w:hAnsi="宋体" w:eastAsia="宋体" w:cs="宋体"/>
                <w:color w:val="auto"/>
                <w:sz w:val="21"/>
                <w:szCs w:val="21"/>
                <w:highlight w:val="none"/>
              </w:rPr>
            </w:pPr>
          </w:p>
        </w:tc>
        <w:tc>
          <w:tcPr>
            <w:tcW w:w="1360"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56CDF679">
            <w:pPr>
              <w:keepNext w:val="0"/>
              <w:keepLines w:val="0"/>
              <w:pageBreakBefore w:val="0"/>
              <w:widowControl w:val="0"/>
              <w:kinsoku/>
              <w:wordWrap/>
              <w:overflowPunct/>
              <w:topLinePunct w:val="0"/>
              <w:autoSpaceDE/>
              <w:autoSpaceDN/>
              <w:bidi w:val="0"/>
              <w:adjustRightInd w:val="0"/>
              <w:snapToGrid w:val="0"/>
              <w:spacing w:line="460" w:lineRule="atLeast"/>
              <w:ind w:left="0" w:leftChars="0" w:right="0" w:rightChars="0"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技术响应</w:t>
            </w:r>
          </w:p>
        </w:tc>
        <w:tc>
          <w:tcPr>
            <w:tcW w:w="6095"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44949147">
            <w:pPr>
              <w:keepNext w:val="0"/>
              <w:keepLines w:val="0"/>
              <w:pageBreakBefore w:val="0"/>
              <w:widowControl w:val="0"/>
              <w:kinsoku/>
              <w:wordWrap/>
              <w:overflowPunct/>
              <w:topLinePunct w:val="0"/>
              <w:autoSpaceDE/>
              <w:autoSpaceDN/>
              <w:bidi w:val="0"/>
              <w:adjustRightInd w:val="0"/>
              <w:snapToGrid w:val="0"/>
              <w:spacing w:line="460" w:lineRule="atLeast"/>
              <w:ind w:left="0" w:leftChars="0" w:right="0" w:rightChars="0"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符合招标文件要求，无重大偏差。</w:t>
            </w:r>
          </w:p>
        </w:tc>
      </w:tr>
      <w:tr w14:paraId="2DD98698">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rPr>
          <w:trHeight w:val="0" w:hRule="atLeast"/>
          <w:jc w:val="center"/>
        </w:trPr>
        <w:tc>
          <w:tcPr>
            <w:tcW w:w="1066" w:type="dxa"/>
            <w:vMerge w:val="continue"/>
            <w:tcBorders>
              <w:left w:val="single" w:color="auto" w:sz="4" w:space="0"/>
              <w:bottom w:val="single" w:color="auto" w:sz="4" w:space="0"/>
              <w:right w:val="single" w:color="auto" w:sz="4" w:space="0"/>
            </w:tcBorders>
            <w:tcMar>
              <w:top w:w="60" w:type="dxa"/>
              <w:left w:w="120" w:type="dxa"/>
              <w:bottom w:w="30" w:type="dxa"/>
              <w:right w:w="120" w:type="dxa"/>
            </w:tcMar>
            <w:vAlign w:val="center"/>
          </w:tcPr>
          <w:p w14:paraId="099CE9CA">
            <w:pPr>
              <w:keepNext w:val="0"/>
              <w:keepLines w:val="0"/>
              <w:pageBreakBefore w:val="0"/>
              <w:widowControl w:val="0"/>
              <w:kinsoku/>
              <w:wordWrap/>
              <w:overflowPunct/>
              <w:topLinePunct w:val="0"/>
              <w:autoSpaceDE/>
              <w:autoSpaceDN/>
              <w:bidi w:val="0"/>
              <w:adjustRightInd w:val="0"/>
              <w:snapToGrid w:val="0"/>
              <w:spacing w:line="460" w:lineRule="atLeast"/>
              <w:ind w:left="0" w:leftChars="0" w:right="0" w:rightChars="0" w:firstLine="0" w:firstLineChars="0"/>
              <w:jc w:val="left"/>
              <w:textAlignment w:val="auto"/>
              <w:rPr>
                <w:rFonts w:hint="eastAsia" w:ascii="宋体" w:hAnsi="宋体" w:eastAsia="宋体" w:cs="宋体"/>
                <w:color w:val="auto"/>
                <w:sz w:val="21"/>
                <w:szCs w:val="21"/>
                <w:highlight w:val="none"/>
              </w:rPr>
            </w:pPr>
          </w:p>
        </w:tc>
        <w:tc>
          <w:tcPr>
            <w:tcW w:w="1360"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1B48EDB5">
            <w:pPr>
              <w:keepNext w:val="0"/>
              <w:keepLines w:val="0"/>
              <w:pageBreakBefore w:val="0"/>
              <w:widowControl w:val="0"/>
              <w:kinsoku/>
              <w:wordWrap/>
              <w:overflowPunct/>
              <w:topLinePunct w:val="0"/>
              <w:autoSpaceDE/>
              <w:autoSpaceDN/>
              <w:bidi w:val="0"/>
              <w:adjustRightInd w:val="0"/>
              <w:snapToGrid w:val="0"/>
              <w:spacing w:line="460" w:lineRule="atLeast"/>
              <w:ind w:left="0" w:leftChars="0" w:right="0" w:rightChars="0"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标书有效性</w:t>
            </w:r>
          </w:p>
        </w:tc>
        <w:tc>
          <w:tcPr>
            <w:tcW w:w="6095"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05576CDA">
            <w:pPr>
              <w:keepNext w:val="0"/>
              <w:keepLines w:val="0"/>
              <w:pageBreakBefore w:val="0"/>
              <w:widowControl w:val="0"/>
              <w:kinsoku/>
              <w:wordWrap/>
              <w:overflowPunct/>
              <w:topLinePunct w:val="0"/>
              <w:autoSpaceDE/>
              <w:autoSpaceDN/>
              <w:bidi w:val="0"/>
              <w:adjustRightInd w:val="0"/>
              <w:snapToGrid w:val="0"/>
              <w:spacing w:line="460" w:lineRule="atLeast"/>
              <w:ind w:left="0" w:leftChars="0" w:right="0" w:rightChars="0"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不存在“投标人须知6.4条款、6.5条款”的情形</w:t>
            </w:r>
          </w:p>
        </w:tc>
      </w:tr>
      <w:tr w14:paraId="1FD31C44">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rPr>
          <w:trHeight w:val="0" w:hRule="atLeast"/>
          <w:jc w:val="center"/>
        </w:trPr>
        <w:tc>
          <w:tcPr>
            <w:tcW w:w="8521" w:type="dxa"/>
            <w:gridSpan w:val="3"/>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7F2442FB">
            <w:pPr>
              <w:keepNext w:val="0"/>
              <w:keepLines w:val="0"/>
              <w:pageBreakBefore w:val="0"/>
              <w:widowControl w:val="0"/>
              <w:kinsoku/>
              <w:wordWrap/>
              <w:overflowPunct/>
              <w:topLinePunct w:val="0"/>
              <w:autoSpaceDE/>
              <w:autoSpaceDN/>
              <w:bidi w:val="0"/>
              <w:adjustRightInd w:val="0"/>
              <w:snapToGrid w:val="0"/>
              <w:spacing w:line="460" w:lineRule="atLeast"/>
              <w:ind w:left="0" w:leftChars="0" w:right="0" w:rightChars="0" w:firstLine="0" w:firstLineChars="0"/>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详细评审</w:t>
            </w:r>
          </w:p>
        </w:tc>
      </w:tr>
      <w:tr w14:paraId="346A8962">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rPr>
          <w:trHeight w:val="0" w:hRule="atLeast"/>
          <w:jc w:val="center"/>
        </w:trPr>
        <w:tc>
          <w:tcPr>
            <w:tcW w:w="1066"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78A14193">
            <w:pPr>
              <w:keepNext w:val="0"/>
              <w:keepLines w:val="0"/>
              <w:pageBreakBefore w:val="0"/>
              <w:widowControl w:val="0"/>
              <w:kinsoku/>
              <w:wordWrap/>
              <w:overflowPunct/>
              <w:topLinePunct w:val="0"/>
              <w:autoSpaceDE/>
              <w:autoSpaceDN/>
              <w:bidi w:val="0"/>
              <w:adjustRightInd w:val="0"/>
              <w:snapToGrid w:val="0"/>
              <w:spacing w:line="460" w:lineRule="atLeast"/>
              <w:ind w:left="0" w:leftChars="0" w:right="0" w:rightChars="0"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条款</w:t>
            </w:r>
          </w:p>
        </w:tc>
        <w:tc>
          <w:tcPr>
            <w:tcW w:w="1360"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3AB70427">
            <w:pPr>
              <w:keepNext w:val="0"/>
              <w:keepLines w:val="0"/>
              <w:pageBreakBefore w:val="0"/>
              <w:widowControl w:val="0"/>
              <w:kinsoku/>
              <w:wordWrap/>
              <w:overflowPunct/>
              <w:topLinePunct w:val="0"/>
              <w:autoSpaceDE/>
              <w:autoSpaceDN/>
              <w:bidi w:val="0"/>
              <w:adjustRightInd w:val="0"/>
              <w:snapToGrid w:val="0"/>
              <w:spacing w:line="460" w:lineRule="atLeast"/>
              <w:ind w:left="0" w:leftChars="0" w:right="0" w:rightChars="0"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评审因素</w:t>
            </w:r>
          </w:p>
        </w:tc>
        <w:tc>
          <w:tcPr>
            <w:tcW w:w="6095"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38C6DF62">
            <w:pPr>
              <w:keepNext w:val="0"/>
              <w:keepLines w:val="0"/>
              <w:pageBreakBefore w:val="0"/>
              <w:widowControl w:val="0"/>
              <w:kinsoku/>
              <w:wordWrap/>
              <w:overflowPunct/>
              <w:topLinePunct w:val="0"/>
              <w:autoSpaceDE/>
              <w:autoSpaceDN/>
              <w:bidi w:val="0"/>
              <w:adjustRightInd w:val="0"/>
              <w:snapToGrid w:val="0"/>
              <w:spacing w:line="460" w:lineRule="atLeast"/>
              <w:ind w:left="0" w:leftChars="0" w:right="0" w:rightChars="0"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评审标准</w:t>
            </w:r>
          </w:p>
        </w:tc>
      </w:tr>
      <w:tr w14:paraId="5446B843">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rPr>
          <w:trHeight w:val="0" w:hRule="atLeast"/>
          <w:jc w:val="center"/>
        </w:trPr>
        <w:tc>
          <w:tcPr>
            <w:tcW w:w="1066" w:type="dxa"/>
            <w:vMerge w:val="restart"/>
            <w:tcBorders>
              <w:top w:val="single" w:color="auto" w:sz="4" w:space="0"/>
              <w:left w:val="single" w:color="auto" w:sz="4" w:space="0"/>
              <w:right w:val="single" w:color="auto" w:sz="4" w:space="0"/>
            </w:tcBorders>
            <w:tcMar>
              <w:top w:w="60" w:type="dxa"/>
              <w:left w:w="120" w:type="dxa"/>
              <w:bottom w:w="30" w:type="dxa"/>
              <w:right w:w="120" w:type="dxa"/>
            </w:tcMar>
            <w:vAlign w:val="center"/>
          </w:tcPr>
          <w:p w14:paraId="37FB4535">
            <w:pPr>
              <w:keepNext w:val="0"/>
              <w:keepLines w:val="0"/>
              <w:pageBreakBefore w:val="0"/>
              <w:widowControl w:val="0"/>
              <w:kinsoku/>
              <w:wordWrap/>
              <w:overflowPunct/>
              <w:topLinePunct w:val="0"/>
              <w:autoSpaceDE/>
              <w:autoSpaceDN/>
              <w:bidi w:val="0"/>
              <w:adjustRightInd w:val="0"/>
              <w:snapToGrid w:val="0"/>
              <w:spacing w:line="460" w:lineRule="atLeast"/>
              <w:ind w:left="0" w:leftChars="0" w:right="0" w:rightChars="0"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商务评审</w:t>
            </w:r>
          </w:p>
        </w:tc>
        <w:tc>
          <w:tcPr>
            <w:tcW w:w="1360"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4D4D9708">
            <w:pPr>
              <w:keepNext w:val="0"/>
              <w:keepLines w:val="0"/>
              <w:pageBreakBefore w:val="0"/>
              <w:widowControl w:val="0"/>
              <w:kinsoku/>
              <w:wordWrap/>
              <w:overflowPunct/>
              <w:topLinePunct w:val="0"/>
              <w:autoSpaceDE/>
              <w:autoSpaceDN/>
              <w:bidi w:val="0"/>
              <w:adjustRightInd w:val="0"/>
              <w:snapToGrid w:val="0"/>
              <w:spacing w:line="460" w:lineRule="atLeast"/>
              <w:ind w:left="0" w:leftChars="0" w:right="0" w:rightChars="0"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计算评标价（如有）</w:t>
            </w:r>
          </w:p>
        </w:tc>
        <w:tc>
          <w:tcPr>
            <w:tcW w:w="6095"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216475D9">
            <w:pPr>
              <w:keepNext w:val="0"/>
              <w:keepLines w:val="0"/>
              <w:pageBreakBefore w:val="0"/>
              <w:widowControl w:val="0"/>
              <w:kinsoku/>
              <w:wordWrap/>
              <w:overflowPunct/>
              <w:topLinePunct w:val="0"/>
              <w:autoSpaceDE/>
              <w:autoSpaceDN/>
              <w:bidi w:val="0"/>
              <w:adjustRightInd w:val="0"/>
              <w:snapToGrid w:val="0"/>
              <w:spacing w:line="460" w:lineRule="atLeast"/>
              <w:ind w:left="0" w:leftChars="0" w:right="0" w:rightChars="0"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按招标文件规定的量化因素和标准进行价格折算，计算投标人评标价</w:t>
            </w:r>
          </w:p>
        </w:tc>
      </w:tr>
      <w:tr w14:paraId="33CD09DD">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rPr>
          <w:trHeight w:val="0" w:hRule="atLeast"/>
          <w:jc w:val="center"/>
        </w:trPr>
        <w:tc>
          <w:tcPr>
            <w:tcW w:w="1066" w:type="dxa"/>
            <w:vMerge w:val="continue"/>
            <w:tcBorders>
              <w:left w:val="single" w:color="auto" w:sz="4" w:space="0"/>
              <w:bottom w:val="single" w:color="auto" w:sz="4" w:space="0"/>
              <w:right w:val="single" w:color="auto" w:sz="4" w:space="0"/>
            </w:tcBorders>
            <w:tcMar>
              <w:top w:w="60" w:type="dxa"/>
              <w:left w:w="120" w:type="dxa"/>
              <w:bottom w:w="30" w:type="dxa"/>
              <w:right w:w="120" w:type="dxa"/>
            </w:tcMar>
            <w:vAlign w:val="center"/>
          </w:tcPr>
          <w:p w14:paraId="7B87E226">
            <w:pPr>
              <w:keepNext w:val="0"/>
              <w:keepLines w:val="0"/>
              <w:pageBreakBefore w:val="0"/>
              <w:widowControl w:val="0"/>
              <w:kinsoku/>
              <w:wordWrap/>
              <w:overflowPunct/>
              <w:topLinePunct w:val="0"/>
              <w:autoSpaceDE/>
              <w:autoSpaceDN/>
              <w:bidi w:val="0"/>
              <w:adjustRightInd w:val="0"/>
              <w:snapToGrid w:val="0"/>
              <w:spacing w:line="460" w:lineRule="atLeast"/>
              <w:ind w:left="0" w:leftChars="0" w:right="0" w:rightChars="0" w:firstLine="0" w:firstLineChars="0"/>
              <w:jc w:val="left"/>
              <w:textAlignment w:val="auto"/>
              <w:rPr>
                <w:rFonts w:hint="eastAsia" w:ascii="宋体" w:hAnsi="宋体" w:eastAsia="宋体" w:cs="宋体"/>
                <w:color w:val="auto"/>
                <w:sz w:val="21"/>
                <w:szCs w:val="21"/>
                <w:highlight w:val="none"/>
              </w:rPr>
            </w:pPr>
          </w:p>
        </w:tc>
        <w:tc>
          <w:tcPr>
            <w:tcW w:w="1360"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6E9E92FB">
            <w:pPr>
              <w:keepNext w:val="0"/>
              <w:keepLines w:val="0"/>
              <w:pageBreakBefore w:val="0"/>
              <w:widowControl w:val="0"/>
              <w:kinsoku/>
              <w:wordWrap/>
              <w:overflowPunct/>
              <w:topLinePunct w:val="0"/>
              <w:autoSpaceDE/>
              <w:autoSpaceDN/>
              <w:bidi w:val="0"/>
              <w:adjustRightInd w:val="0"/>
              <w:snapToGrid w:val="0"/>
              <w:spacing w:line="460" w:lineRule="atLeast"/>
              <w:ind w:left="0" w:leftChars="0" w:right="0" w:rightChars="0"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总报价</w:t>
            </w:r>
          </w:p>
        </w:tc>
        <w:tc>
          <w:tcPr>
            <w:tcW w:w="6095"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1F6C17D2">
            <w:pPr>
              <w:keepNext w:val="0"/>
              <w:keepLines w:val="0"/>
              <w:pageBreakBefore w:val="0"/>
              <w:widowControl w:val="0"/>
              <w:kinsoku/>
              <w:wordWrap/>
              <w:overflowPunct/>
              <w:topLinePunct w:val="0"/>
              <w:autoSpaceDE/>
              <w:autoSpaceDN/>
              <w:bidi w:val="0"/>
              <w:adjustRightInd w:val="0"/>
              <w:snapToGrid w:val="0"/>
              <w:spacing w:line="460" w:lineRule="atLeast"/>
              <w:ind w:left="0" w:leftChars="0" w:right="0" w:rightChars="0"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A值的确定（以有效投标文件的评标价算术平均值为A，计算算术平均值A时：若3≤有效投标文件&lt;7家时，取算术平均值；若7≤有效投标文件&lt;10家时，去掉其中一个最高报价和一个最低报价；若有效投标文件≥10家，去掉其中的二个最高报价和二个最低报价。</w:t>
            </w:r>
          </w:p>
          <w:p w14:paraId="4A994788">
            <w:pPr>
              <w:keepNext w:val="0"/>
              <w:keepLines w:val="0"/>
              <w:pageBreakBefore w:val="0"/>
              <w:widowControl w:val="0"/>
              <w:kinsoku/>
              <w:wordWrap/>
              <w:overflowPunct/>
              <w:topLinePunct w:val="0"/>
              <w:autoSpaceDE/>
              <w:autoSpaceDN/>
              <w:bidi w:val="0"/>
              <w:adjustRightInd w:val="0"/>
              <w:snapToGrid w:val="0"/>
              <w:spacing w:line="460" w:lineRule="atLeast"/>
              <w:ind w:left="0" w:leftChars="0" w:right="0" w:rightChars="0"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评标基准价 =A×K。</w:t>
            </w:r>
          </w:p>
          <w:p w14:paraId="62D3886E">
            <w:pPr>
              <w:keepNext w:val="0"/>
              <w:keepLines w:val="0"/>
              <w:pageBreakBefore w:val="0"/>
              <w:widowControl w:val="0"/>
              <w:kinsoku/>
              <w:wordWrap/>
              <w:overflowPunct/>
              <w:topLinePunct w:val="0"/>
              <w:autoSpaceDE/>
              <w:autoSpaceDN/>
              <w:bidi w:val="0"/>
              <w:adjustRightInd w:val="0"/>
              <w:snapToGrid w:val="0"/>
              <w:spacing w:line="460" w:lineRule="atLeast"/>
              <w:ind w:left="0" w:leftChars="0" w:right="0" w:rightChars="0"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有效投标人报价不低于评标基准价。</w:t>
            </w:r>
          </w:p>
        </w:tc>
      </w:tr>
      <w:tr w14:paraId="691A6FE2">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rPr>
          <w:trHeight w:val="0" w:hRule="atLeast"/>
          <w:jc w:val="center"/>
        </w:trPr>
        <w:tc>
          <w:tcPr>
            <w:tcW w:w="1066"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18B9CE2C">
            <w:pPr>
              <w:keepNext w:val="0"/>
              <w:keepLines w:val="0"/>
              <w:pageBreakBefore w:val="0"/>
              <w:widowControl w:val="0"/>
              <w:kinsoku/>
              <w:wordWrap/>
              <w:overflowPunct/>
              <w:topLinePunct w:val="0"/>
              <w:autoSpaceDE/>
              <w:autoSpaceDN/>
              <w:bidi w:val="0"/>
              <w:adjustRightInd w:val="0"/>
              <w:snapToGrid w:val="0"/>
              <w:spacing w:line="460" w:lineRule="atLeast"/>
              <w:ind w:left="0" w:leftChars="0" w:right="0" w:rightChars="0"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不规范标书</w:t>
            </w:r>
          </w:p>
        </w:tc>
        <w:tc>
          <w:tcPr>
            <w:tcW w:w="1360"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3B51C9D6">
            <w:pPr>
              <w:keepNext w:val="0"/>
              <w:keepLines w:val="0"/>
              <w:pageBreakBefore w:val="0"/>
              <w:widowControl w:val="0"/>
              <w:kinsoku/>
              <w:wordWrap/>
              <w:overflowPunct/>
              <w:topLinePunct w:val="0"/>
              <w:autoSpaceDE/>
              <w:autoSpaceDN/>
              <w:bidi w:val="0"/>
              <w:adjustRightInd w:val="0"/>
              <w:snapToGrid w:val="0"/>
              <w:spacing w:line="460" w:lineRule="atLeast"/>
              <w:ind w:left="0" w:leftChars="0" w:right="0" w:rightChars="0"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不规范标书</w:t>
            </w:r>
          </w:p>
        </w:tc>
        <w:tc>
          <w:tcPr>
            <w:tcW w:w="6095"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53701578">
            <w:pPr>
              <w:keepNext w:val="0"/>
              <w:keepLines w:val="0"/>
              <w:pageBreakBefore w:val="0"/>
              <w:widowControl w:val="0"/>
              <w:kinsoku/>
              <w:wordWrap/>
              <w:overflowPunct/>
              <w:topLinePunct w:val="0"/>
              <w:autoSpaceDE/>
              <w:autoSpaceDN/>
              <w:bidi w:val="0"/>
              <w:adjustRightInd w:val="0"/>
              <w:snapToGrid w:val="0"/>
              <w:spacing w:line="460" w:lineRule="atLeast"/>
              <w:ind w:left="0" w:leftChars="0" w:right="0" w:rightChars="0"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见“通用评标规则 4.2”条</w:t>
            </w:r>
          </w:p>
        </w:tc>
      </w:tr>
    </w:tbl>
    <w:p w14:paraId="1DF6A53D">
      <w:pPr>
        <w:pStyle w:val="2"/>
        <w:keepNext w:val="0"/>
        <w:keepLines w:val="0"/>
        <w:pageBreakBefore w:val="0"/>
        <w:widowControl w:val="0"/>
        <w:numPr>
          <w:ilvl w:val="0"/>
          <w:numId w:val="58"/>
        </w:numPr>
        <w:tabs>
          <w:tab w:val="left" w:pos="961"/>
        </w:tabs>
        <w:kinsoku/>
        <w:wordWrap/>
        <w:overflowPunct/>
        <w:topLinePunct w:val="0"/>
        <w:autoSpaceDE/>
        <w:autoSpaceDN/>
        <w:bidi w:val="0"/>
        <w:adjustRightInd w:val="0"/>
        <w:snapToGrid w:val="0"/>
        <w:spacing w:before="0" w:beforeLines="0" w:after="0" w:line="460" w:lineRule="atLeast"/>
        <w:ind w:left="0" w:leftChars="0" w:firstLine="422" w:firstLineChars="200"/>
        <w:textAlignment w:val="auto"/>
        <w:rPr>
          <w:rFonts w:hint="eastAsia" w:ascii="宋体" w:hAnsi="宋体" w:eastAsia="宋体" w:cs="宋体"/>
          <w:b/>
          <w:color w:val="auto"/>
          <w:sz w:val="21"/>
          <w:szCs w:val="21"/>
          <w:highlight w:val="none"/>
        </w:rPr>
      </w:pPr>
      <w:bookmarkStart w:id="33" w:name="heading_26"/>
      <w:r>
        <w:rPr>
          <w:rFonts w:hint="eastAsia" w:ascii="宋体" w:hAnsi="宋体" w:eastAsia="宋体" w:cs="宋体"/>
          <w:color w:val="auto"/>
          <w:sz w:val="21"/>
          <w:szCs w:val="21"/>
          <w:highlight w:val="none"/>
        </w:rPr>
        <w:t>评标方法</w:t>
      </w:r>
      <w:bookmarkEnd w:id="33"/>
    </w:p>
    <w:p w14:paraId="035E1268">
      <w:pPr>
        <w:pStyle w:val="11"/>
        <w:keepNext w:val="0"/>
        <w:keepLines w:val="0"/>
        <w:pageBreakBefore w:val="0"/>
        <w:widowControl w:val="0"/>
        <w:kinsoku/>
        <w:wordWrap/>
        <w:overflowPunct/>
        <w:topLinePunct w:val="0"/>
        <w:autoSpaceDE/>
        <w:autoSpaceDN/>
        <w:bidi w:val="0"/>
        <w:adjustRightInd w:val="0"/>
        <w:snapToGrid w:val="0"/>
        <w:spacing w:after="0" w:line="460" w:lineRule="atLeast"/>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招标项目评标办法采用“合理低价法”，由评标委员会对通过资格审查、符合性评审、商务性评审的投标人的有效投标报价按照由低至高推荐有排序的1名中标候选人。招标人根据评标委员会提出的书面评标报告确定排名第1的中标候选人为中标人。</w:t>
      </w:r>
    </w:p>
    <w:p w14:paraId="3D3872EE">
      <w:pPr>
        <w:pStyle w:val="2"/>
        <w:keepNext w:val="0"/>
        <w:keepLines w:val="0"/>
        <w:pageBreakBefore w:val="0"/>
        <w:widowControl w:val="0"/>
        <w:numPr>
          <w:ilvl w:val="0"/>
          <w:numId w:val="58"/>
        </w:numPr>
        <w:tabs>
          <w:tab w:val="left" w:pos="961"/>
        </w:tabs>
        <w:kinsoku/>
        <w:wordWrap/>
        <w:overflowPunct/>
        <w:topLinePunct w:val="0"/>
        <w:autoSpaceDE/>
        <w:autoSpaceDN/>
        <w:bidi w:val="0"/>
        <w:adjustRightInd w:val="0"/>
        <w:snapToGrid w:val="0"/>
        <w:spacing w:before="0" w:beforeLines="0" w:after="0" w:line="460" w:lineRule="atLeast"/>
        <w:ind w:left="0" w:leftChars="0" w:firstLine="422" w:firstLineChars="200"/>
        <w:textAlignment w:val="auto"/>
        <w:rPr>
          <w:rFonts w:hint="eastAsia" w:ascii="宋体" w:hAnsi="宋体" w:eastAsia="宋体" w:cs="宋体"/>
          <w:b/>
          <w:color w:val="auto"/>
          <w:sz w:val="21"/>
          <w:szCs w:val="21"/>
          <w:highlight w:val="none"/>
        </w:rPr>
      </w:pPr>
      <w:bookmarkStart w:id="34" w:name="heading_27"/>
      <w:r>
        <w:rPr>
          <w:rFonts w:hint="eastAsia" w:ascii="宋体" w:hAnsi="宋体" w:eastAsia="宋体" w:cs="宋体"/>
          <w:color w:val="auto"/>
          <w:sz w:val="21"/>
          <w:szCs w:val="21"/>
          <w:highlight w:val="none"/>
        </w:rPr>
        <w:t>评审标准</w:t>
      </w:r>
      <w:bookmarkEnd w:id="34"/>
    </w:p>
    <w:p w14:paraId="75A2FE8D">
      <w:pPr>
        <w:pStyle w:val="11"/>
        <w:keepNext w:val="0"/>
        <w:keepLines w:val="0"/>
        <w:pageBreakBefore w:val="0"/>
        <w:widowControl w:val="0"/>
        <w:kinsoku/>
        <w:wordWrap/>
        <w:overflowPunct/>
        <w:topLinePunct w:val="0"/>
        <w:autoSpaceDE/>
        <w:autoSpaceDN/>
        <w:bidi w:val="0"/>
        <w:adjustRightInd w:val="0"/>
        <w:snapToGrid w:val="0"/>
        <w:spacing w:after="0" w:line="460" w:lineRule="atLeast"/>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本项目评标工作按以下2.1、2.2项顺序进行：</w:t>
      </w:r>
    </w:p>
    <w:p w14:paraId="1278BB59">
      <w:pPr>
        <w:pStyle w:val="3"/>
        <w:keepNext w:val="0"/>
        <w:keepLines w:val="0"/>
        <w:pageBreakBefore w:val="0"/>
        <w:widowControl w:val="0"/>
        <w:numPr>
          <w:ilvl w:val="0"/>
          <w:numId w:val="59"/>
        </w:numPr>
        <w:tabs>
          <w:tab w:val="left" w:pos="861"/>
          <w:tab w:val="clear" w:pos="210"/>
        </w:tabs>
        <w:kinsoku/>
        <w:wordWrap/>
        <w:overflowPunct/>
        <w:topLinePunct w:val="0"/>
        <w:autoSpaceDE/>
        <w:autoSpaceDN/>
        <w:bidi w:val="0"/>
        <w:adjustRightInd w:val="0"/>
        <w:snapToGrid w:val="0"/>
        <w:spacing w:after="0" w:line="460" w:lineRule="atLeast"/>
        <w:ind w:left="0" w:leftChars="0" w:firstLine="422" w:firstLineChars="200"/>
        <w:textAlignment w:val="auto"/>
        <w:rPr>
          <w:rFonts w:hint="eastAsia" w:ascii="宋体" w:hAnsi="宋体" w:eastAsia="宋体" w:cs="宋体"/>
          <w:b/>
          <w:color w:val="auto"/>
          <w:sz w:val="21"/>
          <w:szCs w:val="21"/>
          <w:highlight w:val="none"/>
        </w:rPr>
      </w:pPr>
      <w:r>
        <w:rPr>
          <w:rFonts w:hint="eastAsia" w:ascii="宋体" w:hAnsi="宋体" w:eastAsia="宋体" w:cs="宋体"/>
          <w:color w:val="auto"/>
          <w:sz w:val="21"/>
          <w:szCs w:val="21"/>
          <w:highlight w:val="none"/>
        </w:rPr>
        <w:t>初步评审标准</w:t>
      </w:r>
    </w:p>
    <w:p w14:paraId="22A24D9E">
      <w:pPr>
        <w:pStyle w:val="11"/>
        <w:keepNext w:val="0"/>
        <w:keepLines w:val="0"/>
        <w:pageBreakBefore w:val="0"/>
        <w:widowControl w:val="0"/>
        <w:kinsoku/>
        <w:wordWrap/>
        <w:overflowPunct/>
        <w:topLinePunct w:val="0"/>
        <w:autoSpaceDE/>
        <w:autoSpaceDN/>
        <w:bidi w:val="0"/>
        <w:adjustRightInd w:val="0"/>
        <w:snapToGrid w:val="0"/>
        <w:spacing w:after="0" w:line="460" w:lineRule="atLeast"/>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资格及符合性审查：（见评标办法前附表）</w:t>
      </w:r>
    </w:p>
    <w:p w14:paraId="1600CAA1">
      <w:pPr>
        <w:pStyle w:val="3"/>
        <w:keepNext w:val="0"/>
        <w:keepLines w:val="0"/>
        <w:pageBreakBefore w:val="0"/>
        <w:widowControl w:val="0"/>
        <w:numPr>
          <w:ilvl w:val="0"/>
          <w:numId w:val="59"/>
        </w:numPr>
        <w:tabs>
          <w:tab w:val="left" w:pos="861"/>
          <w:tab w:val="clear" w:pos="210"/>
        </w:tabs>
        <w:kinsoku/>
        <w:wordWrap/>
        <w:overflowPunct/>
        <w:topLinePunct w:val="0"/>
        <w:autoSpaceDE/>
        <w:autoSpaceDN/>
        <w:bidi w:val="0"/>
        <w:adjustRightInd w:val="0"/>
        <w:snapToGrid w:val="0"/>
        <w:spacing w:after="0" w:line="460" w:lineRule="atLeast"/>
        <w:ind w:left="0" w:leftChars="0" w:firstLine="422" w:firstLineChars="200"/>
        <w:textAlignment w:val="auto"/>
        <w:rPr>
          <w:rFonts w:hint="eastAsia" w:ascii="宋体" w:hAnsi="宋体" w:eastAsia="宋体" w:cs="宋体"/>
          <w:b/>
          <w:color w:val="auto"/>
          <w:sz w:val="21"/>
          <w:szCs w:val="21"/>
          <w:highlight w:val="none"/>
        </w:rPr>
      </w:pPr>
      <w:r>
        <w:rPr>
          <w:rFonts w:hint="eastAsia" w:ascii="宋体" w:hAnsi="宋体" w:eastAsia="宋体" w:cs="宋体"/>
          <w:color w:val="auto"/>
          <w:sz w:val="21"/>
          <w:szCs w:val="21"/>
          <w:highlight w:val="none"/>
        </w:rPr>
        <w:t>详细评审</w:t>
      </w:r>
    </w:p>
    <w:p w14:paraId="2CF7D750">
      <w:pPr>
        <w:pStyle w:val="11"/>
        <w:keepNext w:val="0"/>
        <w:keepLines w:val="0"/>
        <w:pageBreakBefore w:val="0"/>
        <w:widowControl w:val="0"/>
        <w:kinsoku/>
        <w:wordWrap/>
        <w:overflowPunct/>
        <w:topLinePunct w:val="0"/>
        <w:autoSpaceDE/>
        <w:autoSpaceDN/>
        <w:bidi w:val="0"/>
        <w:adjustRightInd w:val="0"/>
        <w:snapToGrid w:val="0"/>
        <w:spacing w:after="0" w:line="460" w:lineRule="atLeast"/>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特别说明：</w:t>
      </w:r>
    </w:p>
    <w:p w14:paraId="123C886A">
      <w:pPr>
        <w:pStyle w:val="11"/>
        <w:keepNext w:val="0"/>
        <w:keepLines w:val="0"/>
        <w:pageBreakBefore w:val="0"/>
        <w:widowControl w:val="0"/>
        <w:numPr>
          <w:ilvl w:val="0"/>
          <w:numId w:val="60"/>
        </w:numPr>
        <w:tabs>
          <w:tab w:val="left" w:pos="840"/>
        </w:tabs>
        <w:kinsoku/>
        <w:wordWrap/>
        <w:overflowPunct/>
        <w:topLinePunct w:val="0"/>
        <w:autoSpaceDE/>
        <w:autoSpaceDN/>
        <w:bidi w:val="0"/>
        <w:adjustRightInd w:val="0"/>
        <w:snapToGrid w:val="0"/>
        <w:spacing w:after="0" w:line="460" w:lineRule="atLeast"/>
        <w:ind w:left="0" w:leftChars="0" w:firstLine="420" w:firstLineChars="200"/>
        <w:textAlignment w:val="auto"/>
        <w:rPr>
          <w:rFonts w:hint="eastAsia" w:ascii="宋体" w:hAnsi="宋体" w:eastAsia="宋体" w:cs="宋体"/>
          <w:b w:val="0"/>
          <w:color w:val="auto"/>
          <w:sz w:val="21"/>
          <w:szCs w:val="21"/>
          <w:highlight w:val="none"/>
        </w:rPr>
      </w:pPr>
      <w:r>
        <w:rPr>
          <w:rFonts w:hint="eastAsia" w:ascii="宋体" w:hAnsi="宋体" w:eastAsia="宋体" w:cs="宋体"/>
          <w:color w:val="auto"/>
          <w:sz w:val="21"/>
          <w:szCs w:val="21"/>
          <w:highlight w:val="none"/>
        </w:rPr>
        <w:t>K值的确定，投标文件开启前由招标人代表随机抽取，K值的取值范围为</w:t>
      </w:r>
      <w:r>
        <w:rPr>
          <w:rFonts w:hint="eastAsia" w:ascii="宋体" w:hAnsi="宋体" w:eastAsia="宋体" w:cs="宋体"/>
          <w:b/>
          <w:bCs/>
          <w:color w:val="auto"/>
          <w:sz w:val="21"/>
          <w:szCs w:val="21"/>
          <w:highlight w:val="none"/>
          <w:u w:val="single"/>
        </w:rPr>
        <w:t>93%、94%、95%、96%</w:t>
      </w:r>
      <w:r>
        <w:rPr>
          <w:rFonts w:hint="eastAsia" w:ascii="宋体" w:hAnsi="宋体" w:eastAsia="宋体" w:cs="宋体"/>
          <w:color w:val="auto"/>
          <w:sz w:val="21"/>
          <w:szCs w:val="21"/>
          <w:highlight w:val="none"/>
        </w:rPr>
        <w:t>。不论几个标段，K值在开标时只抽取一次。</w:t>
      </w:r>
    </w:p>
    <w:p w14:paraId="3DFAEA5A">
      <w:pPr>
        <w:pStyle w:val="11"/>
        <w:keepNext w:val="0"/>
        <w:keepLines w:val="0"/>
        <w:pageBreakBefore w:val="0"/>
        <w:widowControl w:val="0"/>
        <w:numPr>
          <w:ilvl w:val="0"/>
          <w:numId w:val="60"/>
        </w:numPr>
        <w:tabs>
          <w:tab w:val="left" w:pos="840"/>
        </w:tabs>
        <w:kinsoku/>
        <w:wordWrap/>
        <w:overflowPunct/>
        <w:topLinePunct w:val="0"/>
        <w:autoSpaceDE/>
        <w:autoSpaceDN/>
        <w:bidi w:val="0"/>
        <w:adjustRightInd w:val="0"/>
        <w:snapToGrid w:val="0"/>
        <w:spacing w:after="0" w:line="460" w:lineRule="atLeast"/>
        <w:ind w:left="0" w:leftChars="0" w:firstLine="420" w:firstLineChars="200"/>
        <w:textAlignment w:val="auto"/>
        <w:rPr>
          <w:rFonts w:hint="eastAsia" w:ascii="宋体" w:hAnsi="宋体" w:eastAsia="宋体" w:cs="宋体"/>
          <w:b/>
          <w:bCs/>
          <w:color w:val="auto"/>
          <w:sz w:val="21"/>
          <w:szCs w:val="21"/>
          <w:highlight w:val="none"/>
        </w:rPr>
      </w:pPr>
      <w:r>
        <w:rPr>
          <w:rFonts w:hint="eastAsia" w:ascii="宋体" w:hAnsi="宋体" w:eastAsia="宋体" w:cs="宋体"/>
          <w:color w:val="auto"/>
          <w:sz w:val="21"/>
          <w:szCs w:val="21"/>
          <w:highlight w:val="none"/>
        </w:rPr>
        <w:t>评标基准价不因评标后质疑、投诉、复议以及其他任何情形而改变，计算错误除外。</w:t>
      </w:r>
      <w:r>
        <w:rPr>
          <w:rFonts w:hint="eastAsia" w:ascii="宋体" w:hAnsi="宋体" w:eastAsia="宋体" w:cs="宋体"/>
          <w:b/>
          <w:bCs/>
          <w:color w:val="auto"/>
          <w:sz w:val="21"/>
          <w:szCs w:val="21"/>
          <w:highlight w:val="none"/>
        </w:rPr>
        <w:t>评标基准价计算结果保留小数点后2位，第3位四舍五入。</w:t>
      </w:r>
    </w:p>
    <w:p w14:paraId="1EB3AEF3">
      <w:pPr>
        <w:pStyle w:val="11"/>
        <w:keepNext w:val="0"/>
        <w:keepLines w:val="0"/>
        <w:pageBreakBefore w:val="0"/>
        <w:widowControl w:val="0"/>
        <w:kinsoku/>
        <w:wordWrap/>
        <w:overflowPunct/>
        <w:topLinePunct w:val="0"/>
        <w:autoSpaceDE/>
        <w:autoSpaceDN/>
        <w:bidi w:val="0"/>
        <w:adjustRightInd w:val="0"/>
        <w:snapToGrid w:val="0"/>
        <w:spacing w:after="0" w:line="460" w:lineRule="atLeast"/>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商务性评审：（见评标办法前附表）</w:t>
      </w:r>
    </w:p>
    <w:p w14:paraId="55B6C671">
      <w:pPr>
        <w:pStyle w:val="11"/>
        <w:keepNext w:val="0"/>
        <w:keepLines w:val="0"/>
        <w:pageBreakBefore w:val="0"/>
        <w:widowControl w:val="0"/>
        <w:kinsoku/>
        <w:wordWrap/>
        <w:overflowPunct/>
        <w:topLinePunct w:val="0"/>
        <w:autoSpaceDE/>
        <w:autoSpaceDN/>
        <w:bidi w:val="0"/>
        <w:adjustRightInd w:val="0"/>
        <w:snapToGrid w:val="0"/>
        <w:spacing w:after="0" w:line="460" w:lineRule="atLeast"/>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投标人的报价不低于评标基准价：（见评标办法前附表）</w:t>
      </w:r>
    </w:p>
    <w:p w14:paraId="19ACB4DA">
      <w:pPr>
        <w:pStyle w:val="2"/>
        <w:keepNext w:val="0"/>
        <w:keepLines w:val="0"/>
        <w:pageBreakBefore w:val="0"/>
        <w:widowControl w:val="0"/>
        <w:numPr>
          <w:ilvl w:val="0"/>
          <w:numId w:val="60"/>
        </w:numPr>
        <w:tabs>
          <w:tab w:val="left" w:pos="840"/>
        </w:tabs>
        <w:kinsoku/>
        <w:wordWrap/>
        <w:overflowPunct/>
        <w:topLinePunct w:val="0"/>
        <w:autoSpaceDE/>
        <w:autoSpaceDN/>
        <w:bidi w:val="0"/>
        <w:adjustRightInd w:val="0"/>
        <w:snapToGrid w:val="0"/>
        <w:spacing w:before="0" w:beforeLines="0" w:after="0" w:line="460" w:lineRule="atLeast"/>
        <w:ind w:left="0" w:leftChars="0" w:firstLine="422" w:firstLineChars="200"/>
        <w:textAlignment w:val="auto"/>
        <w:rPr>
          <w:rFonts w:hint="eastAsia" w:ascii="宋体" w:hAnsi="宋体" w:eastAsia="宋体" w:cs="宋体"/>
          <w:b/>
          <w:color w:val="auto"/>
          <w:sz w:val="21"/>
          <w:szCs w:val="21"/>
          <w:highlight w:val="none"/>
        </w:rPr>
      </w:pPr>
      <w:bookmarkStart w:id="35" w:name="heading_28"/>
      <w:r>
        <w:rPr>
          <w:rFonts w:hint="eastAsia" w:ascii="宋体" w:hAnsi="宋体" w:eastAsia="宋体" w:cs="宋体"/>
          <w:color w:val="auto"/>
          <w:sz w:val="21"/>
          <w:szCs w:val="21"/>
          <w:highlight w:val="none"/>
        </w:rPr>
        <w:t>评标程序</w:t>
      </w:r>
      <w:bookmarkEnd w:id="35"/>
    </w:p>
    <w:p w14:paraId="18A587EF">
      <w:pPr>
        <w:pStyle w:val="3"/>
        <w:keepNext w:val="0"/>
        <w:keepLines w:val="0"/>
        <w:pageBreakBefore w:val="0"/>
        <w:widowControl w:val="0"/>
        <w:numPr>
          <w:ilvl w:val="0"/>
          <w:numId w:val="61"/>
        </w:numPr>
        <w:tabs>
          <w:tab w:val="left" w:pos="861"/>
          <w:tab w:val="clear" w:pos="210"/>
        </w:tabs>
        <w:kinsoku/>
        <w:wordWrap/>
        <w:overflowPunct/>
        <w:topLinePunct w:val="0"/>
        <w:autoSpaceDE/>
        <w:autoSpaceDN/>
        <w:bidi w:val="0"/>
        <w:adjustRightInd w:val="0"/>
        <w:snapToGrid w:val="0"/>
        <w:spacing w:after="0" w:line="460" w:lineRule="atLeast"/>
        <w:ind w:left="0" w:leftChars="0" w:firstLine="422" w:firstLineChars="200"/>
        <w:textAlignment w:val="auto"/>
        <w:rPr>
          <w:rFonts w:hint="eastAsia" w:ascii="宋体" w:hAnsi="宋体" w:eastAsia="宋体" w:cs="宋体"/>
          <w:b/>
          <w:color w:val="auto"/>
          <w:sz w:val="21"/>
          <w:szCs w:val="21"/>
          <w:highlight w:val="none"/>
        </w:rPr>
      </w:pPr>
      <w:r>
        <w:rPr>
          <w:rFonts w:hint="eastAsia" w:ascii="宋体" w:hAnsi="宋体" w:eastAsia="宋体" w:cs="宋体"/>
          <w:color w:val="auto"/>
          <w:sz w:val="21"/>
          <w:szCs w:val="21"/>
          <w:highlight w:val="none"/>
        </w:rPr>
        <w:t>评标准备</w:t>
      </w:r>
    </w:p>
    <w:p w14:paraId="7DD8A0C9">
      <w:pPr>
        <w:pStyle w:val="11"/>
        <w:keepNext w:val="0"/>
        <w:keepLines w:val="0"/>
        <w:pageBreakBefore w:val="0"/>
        <w:widowControl w:val="0"/>
        <w:numPr>
          <w:ilvl w:val="0"/>
          <w:numId w:val="62"/>
        </w:numPr>
        <w:tabs>
          <w:tab w:val="left" w:pos="1080"/>
          <w:tab w:val="clear" w:pos="210"/>
        </w:tabs>
        <w:kinsoku/>
        <w:wordWrap/>
        <w:overflowPunct/>
        <w:topLinePunct w:val="0"/>
        <w:autoSpaceDE/>
        <w:autoSpaceDN/>
        <w:bidi w:val="0"/>
        <w:adjustRightInd w:val="0"/>
        <w:snapToGrid w:val="0"/>
        <w:spacing w:after="0" w:line="460" w:lineRule="atLeast"/>
        <w:ind w:left="0" w:leftChars="0" w:firstLine="420" w:firstLineChars="200"/>
        <w:textAlignment w:val="auto"/>
        <w:rPr>
          <w:rFonts w:hint="eastAsia" w:ascii="宋体" w:hAnsi="宋体" w:eastAsia="宋体" w:cs="宋体"/>
          <w:b w:val="0"/>
          <w:color w:val="auto"/>
          <w:sz w:val="21"/>
          <w:szCs w:val="21"/>
          <w:highlight w:val="none"/>
        </w:rPr>
      </w:pPr>
      <w:r>
        <w:rPr>
          <w:rFonts w:hint="eastAsia" w:ascii="宋体" w:hAnsi="宋体" w:eastAsia="宋体" w:cs="宋体"/>
          <w:color w:val="auto"/>
          <w:sz w:val="21"/>
          <w:szCs w:val="21"/>
          <w:highlight w:val="none"/>
        </w:rPr>
        <w:t>评标委员会成员到达评标现场时应在签到表上签到（或通过门禁系统签到）以证明其出席。</w:t>
      </w:r>
    </w:p>
    <w:p w14:paraId="7B7664A0">
      <w:pPr>
        <w:pStyle w:val="11"/>
        <w:keepNext w:val="0"/>
        <w:keepLines w:val="0"/>
        <w:pageBreakBefore w:val="0"/>
        <w:widowControl w:val="0"/>
        <w:numPr>
          <w:ilvl w:val="0"/>
          <w:numId w:val="62"/>
        </w:numPr>
        <w:tabs>
          <w:tab w:val="left" w:pos="1080"/>
          <w:tab w:val="clear" w:pos="210"/>
        </w:tabs>
        <w:kinsoku/>
        <w:wordWrap/>
        <w:overflowPunct/>
        <w:topLinePunct w:val="0"/>
        <w:autoSpaceDE/>
        <w:autoSpaceDN/>
        <w:bidi w:val="0"/>
        <w:adjustRightInd w:val="0"/>
        <w:snapToGrid w:val="0"/>
        <w:spacing w:after="0" w:line="460" w:lineRule="atLeast"/>
        <w:ind w:left="0" w:leftChars="0" w:firstLine="420" w:firstLineChars="200"/>
        <w:textAlignment w:val="auto"/>
        <w:rPr>
          <w:rFonts w:hint="eastAsia" w:ascii="宋体" w:hAnsi="宋体" w:eastAsia="宋体" w:cs="宋体"/>
          <w:b w:val="0"/>
          <w:color w:val="auto"/>
          <w:sz w:val="21"/>
          <w:szCs w:val="21"/>
          <w:highlight w:val="none"/>
        </w:rPr>
      </w:pPr>
      <w:r>
        <w:rPr>
          <w:rFonts w:hint="eastAsia" w:ascii="宋体" w:hAnsi="宋体" w:eastAsia="宋体" w:cs="宋体"/>
          <w:color w:val="auto"/>
          <w:sz w:val="21"/>
          <w:szCs w:val="21"/>
          <w:highlight w:val="none"/>
        </w:rPr>
        <w:t>评标委员会成员首先推选一名评标委员会负责人，负责评标活动的组织领导工作。</w:t>
      </w:r>
    </w:p>
    <w:p w14:paraId="0E7140B8">
      <w:pPr>
        <w:pStyle w:val="11"/>
        <w:keepNext w:val="0"/>
        <w:keepLines w:val="0"/>
        <w:pageBreakBefore w:val="0"/>
        <w:widowControl w:val="0"/>
        <w:numPr>
          <w:ilvl w:val="0"/>
          <w:numId w:val="62"/>
        </w:numPr>
        <w:tabs>
          <w:tab w:val="left" w:pos="1080"/>
          <w:tab w:val="clear" w:pos="210"/>
        </w:tabs>
        <w:kinsoku/>
        <w:wordWrap/>
        <w:overflowPunct/>
        <w:topLinePunct w:val="0"/>
        <w:autoSpaceDE/>
        <w:autoSpaceDN/>
        <w:bidi w:val="0"/>
        <w:adjustRightInd w:val="0"/>
        <w:snapToGrid w:val="0"/>
        <w:spacing w:after="0" w:line="460" w:lineRule="atLeast"/>
        <w:ind w:left="0" w:leftChars="0" w:firstLine="420" w:firstLineChars="200"/>
        <w:textAlignment w:val="auto"/>
        <w:rPr>
          <w:rFonts w:hint="eastAsia" w:ascii="宋体" w:hAnsi="宋体" w:eastAsia="宋体" w:cs="宋体"/>
          <w:b w:val="0"/>
          <w:color w:val="auto"/>
          <w:sz w:val="21"/>
          <w:szCs w:val="21"/>
          <w:highlight w:val="none"/>
        </w:rPr>
      </w:pPr>
      <w:r>
        <w:rPr>
          <w:rFonts w:hint="eastAsia" w:ascii="宋体" w:hAnsi="宋体" w:eastAsia="宋体" w:cs="宋体"/>
          <w:color w:val="auto"/>
          <w:sz w:val="21"/>
          <w:szCs w:val="21"/>
          <w:highlight w:val="none"/>
        </w:rPr>
        <w:t>招标人或招标代理机构应向评标委员会提供评标所需的信息和数据。评标委员会负责人应组织评标委员会成员认真研究招标文件，未在招标文件中规定的标准和方法不得作为评标的依据。</w:t>
      </w:r>
    </w:p>
    <w:p w14:paraId="6DFCFB2C">
      <w:pPr>
        <w:pStyle w:val="3"/>
        <w:keepNext w:val="0"/>
        <w:keepLines w:val="0"/>
        <w:pageBreakBefore w:val="0"/>
        <w:widowControl w:val="0"/>
        <w:numPr>
          <w:ilvl w:val="0"/>
          <w:numId w:val="61"/>
        </w:numPr>
        <w:tabs>
          <w:tab w:val="left" w:pos="861"/>
          <w:tab w:val="clear" w:pos="210"/>
        </w:tabs>
        <w:kinsoku/>
        <w:wordWrap/>
        <w:overflowPunct/>
        <w:topLinePunct w:val="0"/>
        <w:autoSpaceDE/>
        <w:autoSpaceDN/>
        <w:bidi w:val="0"/>
        <w:adjustRightInd w:val="0"/>
        <w:snapToGrid w:val="0"/>
        <w:spacing w:after="0" w:line="460" w:lineRule="atLeast"/>
        <w:ind w:left="0" w:leftChars="0" w:firstLine="422" w:firstLineChars="200"/>
        <w:textAlignment w:val="auto"/>
        <w:rPr>
          <w:rFonts w:hint="eastAsia" w:ascii="宋体" w:hAnsi="宋体" w:eastAsia="宋体" w:cs="宋体"/>
          <w:b/>
          <w:color w:val="auto"/>
          <w:sz w:val="21"/>
          <w:szCs w:val="21"/>
          <w:highlight w:val="none"/>
        </w:rPr>
      </w:pPr>
      <w:r>
        <w:rPr>
          <w:rFonts w:hint="eastAsia" w:ascii="宋体" w:hAnsi="宋体" w:eastAsia="宋体" w:cs="宋体"/>
          <w:color w:val="auto"/>
          <w:sz w:val="21"/>
          <w:szCs w:val="21"/>
          <w:highlight w:val="none"/>
        </w:rPr>
        <w:t>初步评审</w:t>
      </w:r>
    </w:p>
    <w:p w14:paraId="543460BC">
      <w:pPr>
        <w:pStyle w:val="11"/>
        <w:keepNext w:val="0"/>
        <w:keepLines w:val="0"/>
        <w:pageBreakBefore w:val="0"/>
        <w:widowControl w:val="0"/>
        <w:numPr>
          <w:ilvl w:val="0"/>
          <w:numId w:val="63"/>
        </w:numPr>
        <w:tabs>
          <w:tab w:val="left" w:pos="1080"/>
          <w:tab w:val="clear" w:pos="210"/>
        </w:tabs>
        <w:kinsoku/>
        <w:wordWrap/>
        <w:overflowPunct/>
        <w:topLinePunct w:val="0"/>
        <w:autoSpaceDE/>
        <w:autoSpaceDN/>
        <w:bidi w:val="0"/>
        <w:adjustRightInd w:val="0"/>
        <w:snapToGrid w:val="0"/>
        <w:spacing w:after="0" w:line="460" w:lineRule="atLeast"/>
        <w:ind w:left="0" w:leftChars="0" w:firstLine="420" w:firstLineChars="200"/>
        <w:textAlignment w:val="auto"/>
        <w:rPr>
          <w:rFonts w:hint="eastAsia" w:ascii="宋体" w:hAnsi="宋体" w:eastAsia="宋体" w:cs="宋体"/>
          <w:b w:val="0"/>
          <w:color w:val="auto"/>
          <w:sz w:val="21"/>
          <w:szCs w:val="21"/>
          <w:highlight w:val="none"/>
        </w:rPr>
      </w:pPr>
      <w:r>
        <w:rPr>
          <w:rFonts w:hint="eastAsia" w:ascii="宋体" w:hAnsi="宋体" w:eastAsia="宋体" w:cs="宋体"/>
          <w:color w:val="auto"/>
          <w:sz w:val="21"/>
          <w:szCs w:val="21"/>
          <w:highlight w:val="none"/>
        </w:rPr>
        <w:t>评标委员会依据本章规定的标准对投标文件进行初步评审，初步评审包含资格及符合性评审。</w:t>
      </w:r>
    </w:p>
    <w:p w14:paraId="7EFA975A">
      <w:pPr>
        <w:pStyle w:val="11"/>
        <w:keepNext w:val="0"/>
        <w:keepLines w:val="0"/>
        <w:pageBreakBefore w:val="0"/>
        <w:widowControl w:val="0"/>
        <w:numPr>
          <w:ilvl w:val="0"/>
          <w:numId w:val="63"/>
        </w:numPr>
        <w:tabs>
          <w:tab w:val="left" w:pos="1080"/>
          <w:tab w:val="clear" w:pos="210"/>
        </w:tabs>
        <w:kinsoku/>
        <w:wordWrap/>
        <w:overflowPunct/>
        <w:topLinePunct w:val="0"/>
        <w:autoSpaceDE/>
        <w:autoSpaceDN/>
        <w:bidi w:val="0"/>
        <w:adjustRightInd w:val="0"/>
        <w:snapToGrid w:val="0"/>
        <w:spacing w:after="0" w:line="460" w:lineRule="atLeast"/>
        <w:ind w:left="0" w:leftChars="0" w:firstLine="420" w:firstLineChars="200"/>
        <w:textAlignment w:val="auto"/>
        <w:rPr>
          <w:rFonts w:hint="eastAsia" w:ascii="宋体" w:hAnsi="宋体" w:eastAsia="宋体" w:cs="宋体"/>
          <w:b w:val="0"/>
          <w:color w:val="auto"/>
          <w:sz w:val="21"/>
          <w:szCs w:val="21"/>
          <w:highlight w:val="none"/>
        </w:rPr>
      </w:pPr>
      <w:r>
        <w:rPr>
          <w:rFonts w:hint="eastAsia" w:ascii="宋体" w:hAnsi="宋体" w:eastAsia="宋体" w:cs="宋体"/>
          <w:color w:val="auto"/>
          <w:sz w:val="21"/>
          <w:szCs w:val="21"/>
          <w:highlight w:val="none"/>
        </w:rPr>
        <w:t>投标文件不符合本章评审标准的，视为未能对招标文件作出实质性响应，应当作为无效投标予以否决。</w:t>
      </w:r>
    </w:p>
    <w:p w14:paraId="62E88148">
      <w:pPr>
        <w:pStyle w:val="11"/>
        <w:keepNext w:val="0"/>
        <w:keepLines w:val="0"/>
        <w:pageBreakBefore w:val="0"/>
        <w:widowControl w:val="0"/>
        <w:numPr>
          <w:ilvl w:val="0"/>
          <w:numId w:val="63"/>
        </w:numPr>
        <w:tabs>
          <w:tab w:val="left" w:pos="1080"/>
          <w:tab w:val="clear" w:pos="210"/>
        </w:tabs>
        <w:kinsoku/>
        <w:wordWrap/>
        <w:overflowPunct/>
        <w:topLinePunct w:val="0"/>
        <w:autoSpaceDE/>
        <w:autoSpaceDN/>
        <w:bidi w:val="0"/>
        <w:adjustRightInd w:val="0"/>
        <w:snapToGrid w:val="0"/>
        <w:spacing w:after="0" w:line="460" w:lineRule="atLeast"/>
        <w:ind w:left="0" w:leftChars="0" w:firstLine="420" w:firstLineChars="200"/>
        <w:textAlignment w:val="auto"/>
        <w:rPr>
          <w:rFonts w:hint="eastAsia" w:ascii="宋体" w:hAnsi="宋体" w:eastAsia="宋体" w:cs="宋体"/>
          <w:b w:val="0"/>
          <w:color w:val="auto"/>
          <w:sz w:val="21"/>
          <w:szCs w:val="21"/>
          <w:highlight w:val="none"/>
        </w:rPr>
      </w:pPr>
      <w:r>
        <w:rPr>
          <w:rFonts w:hint="eastAsia" w:ascii="宋体" w:hAnsi="宋体" w:eastAsia="宋体" w:cs="宋体"/>
          <w:color w:val="auto"/>
          <w:sz w:val="21"/>
          <w:szCs w:val="21"/>
          <w:highlight w:val="none"/>
        </w:rPr>
        <w:t>对照投标人须知6.4、6.5款，投标文件有上述情况之一，视为未能对招标文件作出实质性响应，凡招标文件未明确标明无效标条款的，评标委员会不得作为判定无效投标的依据。</w:t>
      </w:r>
    </w:p>
    <w:p w14:paraId="026E7A29">
      <w:pPr>
        <w:pStyle w:val="11"/>
        <w:keepNext w:val="0"/>
        <w:keepLines w:val="0"/>
        <w:pageBreakBefore w:val="0"/>
        <w:widowControl w:val="0"/>
        <w:numPr>
          <w:ilvl w:val="0"/>
          <w:numId w:val="63"/>
        </w:numPr>
        <w:tabs>
          <w:tab w:val="left" w:pos="1080"/>
          <w:tab w:val="clear" w:pos="210"/>
        </w:tabs>
        <w:kinsoku/>
        <w:wordWrap/>
        <w:overflowPunct/>
        <w:topLinePunct w:val="0"/>
        <w:autoSpaceDE/>
        <w:autoSpaceDN/>
        <w:bidi w:val="0"/>
        <w:adjustRightInd w:val="0"/>
        <w:snapToGrid w:val="0"/>
        <w:spacing w:after="0" w:line="460" w:lineRule="atLeast"/>
        <w:ind w:left="0" w:leftChars="0" w:firstLine="420" w:firstLineChars="200"/>
        <w:textAlignment w:val="auto"/>
        <w:rPr>
          <w:rFonts w:hint="eastAsia" w:ascii="宋体" w:hAnsi="宋体" w:eastAsia="宋体" w:cs="宋体"/>
          <w:b w:val="0"/>
          <w:color w:val="auto"/>
          <w:sz w:val="21"/>
          <w:szCs w:val="21"/>
          <w:highlight w:val="none"/>
        </w:rPr>
      </w:pPr>
      <w:r>
        <w:rPr>
          <w:rFonts w:hint="eastAsia" w:ascii="宋体" w:hAnsi="宋体" w:eastAsia="宋体" w:cs="宋体"/>
          <w:color w:val="auto"/>
          <w:sz w:val="21"/>
          <w:szCs w:val="21"/>
          <w:highlight w:val="none"/>
        </w:rPr>
        <w:t>投标报价有算术错误的，评标委员会按以下原则对投标报价进行修正，修正的价格经投</w:t>
      </w:r>
      <w:bookmarkStart w:id="59" w:name="_GoBack"/>
      <w:bookmarkEnd w:id="59"/>
      <w:r>
        <w:rPr>
          <w:rFonts w:hint="eastAsia" w:ascii="宋体" w:hAnsi="宋体" w:eastAsia="宋体" w:cs="宋体"/>
          <w:color w:val="auto"/>
          <w:sz w:val="21"/>
          <w:szCs w:val="21"/>
          <w:highlight w:val="none"/>
        </w:rPr>
        <w:t>标人书面确认后具有约束力。</w:t>
      </w:r>
    </w:p>
    <w:p w14:paraId="7B8DB832">
      <w:pPr>
        <w:pStyle w:val="11"/>
        <w:keepNext w:val="0"/>
        <w:keepLines w:val="0"/>
        <w:pageBreakBefore w:val="0"/>
        <w:widowControl w:val="0"/>
        <w:numPr>
          <w:ilvl w:val="0"/>
          <w:numId w:val="64"/>
        </w:numPr>
        <w:tabs>
          <w:tab w:val="left" w:pos="960"/>
        </w:tabs>
        <w:kinsoku/>
        <w:wordWrap/>
        <w:overflowPunct/>
        <w:topLinePunct w:val="0"/>
        <w:autoSpaceDE/>
        <w:autoSpaceDN/>
        <w:bidi w:val="0"/>
        <w:adjustRightInd w:val="0"/>
        <w:snapToGrid w:val="0"/>
        <w:spacing w:after="0" w:line="460" w:lineRule="atLeast"/>
        <w:ind w:left="0" w:leftChars="0" w:firstLine="420" w:firstLineChars="200"/>
        <w:textAlignment w:val="auto"/>
        <w:rPr>
          <w:rFonts w:hint="eastAsia" w:ascii="宋体" w:hAnsi="宋体" w:eastAsia="宋体" w:cs="宋体"/>
          <w:b w:val="0"/>
          <w:color w:val="auto"/>
          <w:sz w:val="21"/>
          <w:szCs w:val="21"/>
          <w:highlight w:val="none"/>
        </w:rPr>
      </w:pPr>
      <w:r>
        <w:rPr>
          <w:rFonts w:hint="eastAsia" w:ascii="宋体" w:hAnsi="宋体" w:eastAsia="宋体" w:cs="宋体"/>
          <w:color w:val="auto"/>
          <w:sz w:val="21"/>
          <w:szCs w:val="21"/>
          <w:highlight w:val="none"/>
        </w:rPr>
        <w:t>投标文件中的大写金额与小写金额不一致的，以大写金额为准；</w:t>
      </w:r>
    </w:p>
    <w:p w14:paraId="2DC8C620">
      <w:pPr>
        <w:pStyle w:val="11"/>
        <w:keepNext w:val="0"/>
        <w:keepLines w:val="0"/>
        <w:pageBreakBefore w:val="0"/>
        <w:widowControl w:val="0"/>
        <w:numPr>
          <w:ilvl w:val="0"/>
          <w:numId w:val="64"/>
        </w:numPr>
        <w:tabs>
          <w:tab w:val="left" w:pos="960"/>
        </w:tabs>
        <w:kinsoku/>
        <w:wordWrap/>
        <w:overflowPunct/>
        <w:topLinePunct w:val="0"/>
        <w:autoSpaceDE/>
        <w:autoSpaceDN/>
        <w:bidi w:val="0"/>
        <w:adjustRightInd w:val="0"/>
        <w:snapToGrid w:val="0"/>
        <w:spacing w:after="0" w:line="460" w:lineRule="atLeast"/>
        <w:ind w:left="0" w:leftChars="0" w:firstLine="420" w:firstLineChars="200"/>
        <w:textAlignment w:val="auto"/>
        <w:rPr>
          <w:rFonts w:hint="eastAsia" w:ascii="宋体" w:hAnsi="宋体" w:eastAsia="宋体" w:cs="宋体"/>
          <w:b w:val="0"/>
          <w:color w:val="auto"/>
          <w:sz w:val="21"/>
          <w:szCs w:val="21"/>
          <w:highlight w:val="none"/>
        </w:rPr>
      </w:pPr>
      <w:r>
        <w:rPr>
          <w:rFonts w:hint="eastAsia" w:ascii="宋体" w:hAnsi="宋体" w:eastAsia="宋体" w:cs="宋体"/>
          <w:color w:val="auto"/>
          <w:sz w:val="21"/>
          <w:szCs w:val="21"/>
          <w:highlight w:val="none"/>
        </w:rPr>
        <w:t>总价金额与依据单价计算出的结果不一致的，以单价金额为准修正总价，但单价金额小数点有明显错误的除外。</w:t>
      </w:r>
    </w:p>
    <w:p w14:paraId="5B6085FA">
      <w:pPr>
        <w:pStyle w:val="3"/>
        <w:keepNext w:val="0"/>
        <w:keepLines w:val="0"/>
        <w:pageBreakBefore w:val="0"/>
        <w:widowControl w:val="0"/>
        <w:numPr>
          <w:ilvl w:val="0"/>
          <w:numId w:val="61"/>
        </w:numPr>
        <w:tabs>
          <w:tab w:val="left" w:pos="861"/>
          <w:tab w:val="clear" w:pos="210"/>
        </w:tabs>
        <w:kinsoku/>
        <w:wordWrap/>
        <w:overflowPunct/>
        <w:topLinePunct w:val="0"/>
        <w:autoSpaceDE/>
        <w:autoSpaceDN/>
        <w:bidi w:val="0"/>
        <w:adjustRightInd w:val="0"/>
        <w:snapToGrid w:val="0"/>
        <w:spacing w:after="0" w:line="460" w:lineRule="atLeast"/>
        <w:ind w:left="0" w:leftChars="0" w:firstLine="422" w:firstLineChars="200"/>
        <w:textAlignment w:val="auto"/>
        <w:rPr>
          <w:rFonts w:hint="eastAsia" w:ascii="宋体" w:hAnsi="宋体" w:eastAsia="宋体" w:cs="宋体"/>
          <w:b/>
          <w:color w:val="auto"/>
          <w:sz w:val="21"/>
          <w:szCs w:val="21"/>
          <w:highlight w:val="none"/>
        </w:rPr>
      </w:pPr>
      <w:r>
        <w:rPr>
          <w:rFonts w:hint="eastAsia" w:ascii="宋体" w:hAnsi="宋体" w:eastAsia="宋体" w:cs="宋体"/>
          <w:color w:val="auto"/>
          <w:sz w:val="21"/>
          <w:szCs w:val="21"/>
          <w:highlight w:val="none"/>
        </w:rPr>
        <w:t>详细评审</w:t>
      </w:r>
    </w:p>
    <w:p w14:paraId="07948621">
      <w:pPr>
        <w:pStyle w:val="11"/>
        <w:keepNext w:val="0"/>
        <w:keepLines w:val="0"/>
        <w:pageBreakBefore w:val="0"/>
        <w:widowControl w:val="0"/>
        <w:kinsoku/>
        <w:wordWrap/>
        <w:overflowPunct/>
        <w:topLinePunct w:val="0"/>
        <w:autoSpaceDE/>
        <w:autoSpaceDN/>
        <w:bidi w:val="0"/>
        <w:adjustRightInd w:val="0"/>
        <w:snapToGrid w:val="0"/>
        <w:spacing w:after="0" w:line="460" w:lineRule="atLeast"/>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项目详细评审为商务性评审，经初步评审合格的投标文件，评标委员会按招标文件规定的量化因素和标准进行价格折算，计算出评标价，并按由低至高的次序向招标人推荐1名中标候选人，并标明排序。投标人报价相同，须明确中标候选人或需对中标候选人排序的，由招标人抽签确定排序。</w:t>
      </w:r>
    </w:p>
    <w:p w14:paraId="4C9902CB">
      <w:pPr>
        <w:pStyle w:val="3"/>
        <w:keepNext w:val="0"/>
        <w:keepLines w:val="0"/>
        <w:pageBreakBefore w:val="0"/>
        <w:widowControl w:val="0"/>
        <w:numPr>
          <w:ilvl w:val="0"/>
          <w:numId w:val="61"/>
        </w:numPr>
        <w:tabs>
          <w:tab w:val="left" w:pos="861"/>
          <w:tab w:val="clear" w:pos="210"/>
        </w:tabs>
        <w:kinsoku/>
        <w:wordWrap/>
        <w:overflowPunct/>
        <w:topLinePunct w:val="0"/>
        <w:autoSpaceDE/>
        <w:autoSpaceDN/>
        <w:bidi w:val="0"/>
        <w:adjustRightInd w:val="0"/>
        <w:snapToGrid w:val="0"/>
        <w:spacing w:after="0" w:line="460" w:lineRule="atLeast"/>
        <w:ind w:left="0" w:leftChars="0" w:firstLine="422" w:firstLineChars="200"/>
        <w:textAlignment w:val="auto"/>
        <w:rPr>
          <w:rFonts w:hint="eastAsia" w:ascii="宋体" w:hAnsi="宋体" w:eastAsia="宋体" w:cs="宋体"/>
          <w:b/>
          <w:color w:val="auto"/>
          <w:sz w:val="21"/>
          <w:szCs w:val="21"/>
          <w:highlight w:val="none"/>
        </w:rPr>
      </w:pPr>
      <w:r>
        <w:rPr>
          <w:rFonts w:hint="eastAsia" w:ascii="宋体" w:hAnsi="宋体" w:eastAsia="宋体" w:cs="宋体"/>
          <w:color w:val="auto"/>
          <w:sz w:val="21"/>
          <w:szCs w:val="21"/>
          <w:highlight w:val="none"/>
        </w:rPr>
        <w:t>投标文件的澄清和补正</w:t>
      </w:r>
    </w:p>
    <w:p w14:paraId="5F600FEF">
      <w:pPr>
        <w:pStyle w:val="11"/>
        <w:keepNext w:val="0"/>
        <w:keepLines w:val="0"/>
        <w:pageBreakBefore w:val="0"/>
        <w:widowControl w:val="0"/>
        <w:numPr>
          <w:ilvl w:val="0"/>
          <w:numId w:val="65"/>
        </w:numPr>
        <w:tabs>
          <w:tab w:val="left" w:pos="1080"/>
          <w:tab w:val="clear" w:pos="210"/>
        </w:tabs>
        <w:kinsoku/>
        <w:wordWrap/>
        <w:overflowPunct/>
        <w:topLinePunct w:val="0"/>
        <w:autoSpaceDE/>
        <w:autoSpaceDN/>
        <w:bidi w:val="0"/>
        <w:adjustRightInd w:val="0"/>
        <w:snapToGrid w:val="0"/>
        <w:spacing w:after="0" w:line="460" w:lineRule="atLeast"/>
        <w:ind w:left="0" w:leftChars="0" w:firstLine="420" w:firstLineChars="200"/>
        <w:textAlignment w:val="auto"/>
        <w:rPr>
          <w:rFonts w:hint="eastAsia" w:ascii="宋体" w:hAnsi="宋体" w:eastAsia="宋体" w:cs="宋体"/>
          <w:b w:val="0"/>
          <w:color w:val="auto"/>
          <w:sz w:val="21"/>
          <w:szCs w:val="21"/>
          <w:highlight w:val="none"/>
        </w:rPr>
      </w:pPr>
      <w:r>
        <w:rPr>
          <w:rFonts w:hint="eastAsia" w:ascii="宋体" w:hAnsi="宋体" w:eastAsia="宋体" w:cs="宋体"/>
          <w:color w:val="auto"/>
          <w:sz w:val="21"/>
          <w:szCs w:val="21"/>
          <w:highlight w:val="none"/>
        </w:rPr>
        <w:t>在评标过程中，评标委员会可以书面形式要求投标人对所提交投标文件中不明确的内容进行书面澄清或说明，或者对细微偏差进行补正。评标委员会不接受投标人主动提出的澄清、说明或补正。</w:t>
      </w:r>
    </w:p>
    <w:p w14:paraId="5E1D75F5">
      <w:pPr>
        <w:pStyle w:val="11"/>
        <w:keepNext w:val="0"/>
        <w:keepLines w:val="0"/>
        <w:pageBreakBefore w:val="0"/>
        <w:widowControl w:val="0"/>
        <w:numPr>
          <w:ilvl w:val="0"/>
          <w:numId w:val="65"/>
        </w:numPr>
        <w:tabs>
          <w:tab w:val="left" w:pos="1080"/>
          <w:tab w:val="clear" w:pos="210"/>
        </w:tabs>
        <w:kinsoku/>
        <w:wordWrap/>
        <w:overflowPunct/>
        <w:topLinePunct w:val="0"/>
        <w:autoSpaceDE/>
        <w:autoSpaceDN/>
        <w:bidi w:val="0"/>
        <w:adjustRightInd w:val="0"/>
        <w:snapToGrid w:val="0"/>
        <w:spacing w:after="0" w:line="460" w:lineRule="atLeast"/>
        <w:ind w:left="0" w:leftChars="0" w:firstLine="420" w:firstLineChars="200"/>
        <w:textAlignment w:val="auto"/>
        <w:rPr>
          <w:rFonts w:hint="eastAsia" w:ascii="宋体" w:hAnsi="宋体" w:eastAsia="宋体" w:cs="宋体"/>
          <w:b w:val="0"/>
          <w:color w:val="auto"/>
          <w:sz w:val="21"/>
          <w:szCs w:val="21"/>
          <w:highlight w:val="none"/>
        </w:rPr>
      </w:pPr>
      <w:r>
        <w:rPr>
          <w:rFonts w:hint="eastAsia" w:ascii="宋体" w:hAnsi="宋体" w:eastAsia="宋体" w:cs="宋体"/>
          <w:color w:val="auto"/>
          <w:sz w:val="21"/>
          <w:szCs w:val="21"/>
          <w:highlight w:val="none"/>
        </w:rPr>
        <w:t>澄清、说明和补正不得改变投标文件的实质性内容（算术性错误修正的除外）。投标人的书面澄清、说明和补正属于投标文件的组成部分。</w:t>
      </w:r>
    </w:p>
    <w:p w14:paraId="08752045">
      <w:pPr>
        <w:pStyle w:val="11"/>
        <w:keepNext w:val="0"/>
        <w:keepLines w:val="0"/>
        <w:pageBreakBefore w:val="0"/>
        <w:widowControl w:val="0"/>
        <w:numPr>
          <w:ilvl w:val="0"/>
          <w:numId w:val="65"/>
        </w:numPr>
        <w:tabs>
          <w:tab w:val="left" w:pos="1080"/>
          <w:tab w:val="clear" w:pos="210"/>
        </w:tabs>
        <w:kinsoku/>
        <w:wordWrap/>
        <w:overflowPunct/>
        <w:topLinePunct w:val="0"/>
        <w:autoSpaceDE/>
        <w:autoSpaceDN/>
        <w:bidi w:val="0"/>
        <w:adjustRightInd w:val="0"/>
        <w:snapToGrid w:val="0"/>
        <w:spacing w:after="0" w:line="460" w:lineRule="atLeast"/>
        <w:ind w:left="0" w:leftChars="0" w:firstLine="420" w:firstLineChars="200"/>
        <w:textAlignment w:val="auto"/>
        <w:rPr>
          <w:rFonts w:hint="eastAsia" w:ascii="宋体" w:hAnsi="宋体" w:eastAsia="宋体" w:cs="宋体"/>
          <w:b w:val="0"/>
          <w:color w:val="auto"/>
          <w:sz w:val="21"/>
          <w:szCs w:val="21"/>
          <w:highlight w:val="none"/>
        </w:rPr>
      </w:pPr>
      <w:r>
        <w:rPr>
          <w:rFonts w:hint="eastAsia" w:ascii="宋体" w:hAnsi="宋体" w:eastAsia="宋体" w:cs="宋体"/>
          <w:color w:val="auto"/>
          <w:sz w:val="21"/>
          <w:szCs w:val="21"/>
          <w:highlight w:val="none"/>
        </w:rPr>
        <w:t>评标委员会对投标人提交的澄清、说明或补正有疑问的，可以要求投标人进一步澄清、说明或补正。</w:t>
      </w:r>
    </w:p>
    <w:p w14:paraId="7A480C48">
      <w:pPr>
        <w:pStyle w:val="3"/>
        <w:keepNext w:val="0"/>
        <w:keepLines w:val="0"/>
        <w:pageBreakBefore w:val="0"/>
        <w:widowControl w:val="0"/>
        <w:numPr>
          <w:ilvl w:val="0"/>
          <w:numId w:val="61"/>
        </w:numPr>
        <w:tabs>
          <w:tab w:val="left" w:pos="861"/>
          <w:tab w:val="clear" w:pos="210"/>
        </w:tabs>
        <w:kinsoku/>
        <w:wordWrap/>
        <w:overflowPunct/>
        <w:topLinePunct w:val="0"/>
        <w:autoSpaceDE/>
        <w:autoSpaceDN/>
        <w:bidi w:val="0"/>
        <w:adjustRightInd w:val="0"/>
        <w:snapToGrid w:val="0"/>
        <w:spacing w:after="0" w:line="460" w:lineRule="atLeast"/>
        <w:ind w:left="0" w:leftChars="0" w:firstLine="422" w:firstLineChars="200"/>
        <w:textAlignment w:val="auto"/>
        <w:rPr>
          <w:rFonts w:hint="eastAsia" w:ascii="宋体" w:hAnsi="宋体" w:eastAsia="宋体" w:cs="宋体"/>
          <w:b/>
          <w:color w:val="auto"/>
          <w:sz w:val="21"/>
          <w:szCs w:val="21"/>
          <w:highlight w:val="none"/>
        </w:rPr>
      </w:pPr>
      <w:r>
        <w:rPr>
          <w:rFonts w:hint="eastAsia" w:ascii="宋体" w:hAnsi="宋体" w:eastAsia="宋体" w:cs="宋体"/>
          <w:color w:val="auto"/>
          <w:sz w:val="21"/>
          <w:szCs w:val="21"/>
          <w:highlight w:val="none"/>
        </w:rPr>
        <w:t>推荐中标候选人或直接确定中标人</w:t>
      </w:r>
    </w:p>
    <w:p w14:paraId="24FD1B35">
      <w:pPr>
        <w:pStyle w:val="11"/>
        <w:keepNext w:val="0"/>
        <w:keepLines w:val="0"/>
        <w:pageBreakBefore w:val="0"/>
        <w:widowControl w:val="0"/>
        <w:kinsoku/>
        <w:wordWrap/>
        <w:overflowPunct/>
        <w:topLinePunct w:val="0"/>
        <w:autoSpaceDE/>
        <w:autoSpaceDN/>
        <w:bidi w:val="0"/>
        <w:adjustRightInd w:val="0"/>
        <w:snapToGrid w:val="0"/>
        <w:spacing w:after="0" w:line="460" w:lineRule="atLeast"/>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3.5.1 除投标人须知前附表授权直接确定中标人外，评标委员会在推荐中标候选人时，应遵照以下原则:</w:t>
      </w:r>
    </w:p>
    <w:p w14:paraId="3E6DBFD2">
      <w:pPr>
        <w:pStyle w:val="11"/>
        <w:keepNext w:val="0"/>
        <w:keepLines w:val="0"/>
        <w:pageBreakBefore w:val="0"/>
        <w:widowControl w:val="0"/>
        <w:kinsoku/>
        <w:wordWrap/>
        <w:overflowPunct/>
        <w:topLinePunct w:val="0"/>
        <w:autoSpaceDE/>
        <w:autoSpaceDN/>
        <w:bidi w:val="0"/>
        <w:adjustRightInd w:val="0"/>
        <w:snapToGrid w:val="0"/>
        <w:spacing w:after="0" w:line="460" w:lineRule="atLeast"/>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评标委员会按评标价格由低到高的排序，并根据投标人须知前附表规定的中标候选人数量，将排序在前的投标人推荐为中标候选人。投标人报价相同，须明确中标候选人或需对中标候选人排序的，由招标人抽签确定排序。</w:t>
      </w:r>
    </w:p>
    <w:p w14:paraId="16957E74">
      <w:pPr>
        <w:pStyle w:val="3"/>
        <w:keepNext w:val="0"/>
        <w:keepLines w:val="0"/>
        <w:pageBreakBefore w:val="0"/>
        <w:widowControl w:val="0"/>
        <w:numPr>
          <w:ilvl w:val="0"/>
          <w:numId w:val="61"/>
        </w:numPr>
        <w:tabs>
          <w:tab w:val="left" w:pos="861"/>
          <w:tab w:val="clear" w:pos="210"/>
        </w:tabs>
        <w:kinsoku/>
        <w:wordWrap/>
        <w:overflowPunct/>
        <w:topLinePunct w:val="0"/>
        <w:autoSpaceDE/>
        <w:autoSpaceDN/>
        <w:bidi w:val="0"/>
        <w:adjustRightInd w:val="0"/>
        <w:snapToGrid w:val="0"/>
        <w:spacing w:after="0" w:line="460" w:lineRule="atLeast"/>
        <w:ind w:left="0" w:leftChars="0" w:firstLine="422" w:firstLineChars="200"/>
        <w:textAlignment w:val="auto"/>
        <w:rPr>
          <w:rFonts w:hint="eastAsia" w:ascii="宋体" w:hAnsi="宋体" w:eastAsia="宋体" w:cs="宋体"/>
          <w:b/>
          <w:color w:val="auto"/>
          <w:sz w:val="21"/>
          <w:szCs w:val="21"/>
          <w:highlight w:val="none"/>
        </w:rPr>
      </w:pPr>
      <w:r>
        <w:rPr>
          <w:rFonts w:hint="eastAsia" w:ascii="宋体" w:hAnsi="宋体" w:eastAsia="宋体" w:cs="宋体"/>
          <w:color w:val="auto"/>
          <w:sz w:val="21"/>
          <w:szCs w:val="21"/>
          <w:highlight w:val="none"/>
        </w:rPr>
        <w:t>提交评标报告</w:t>
      </w:r>
    </w:p>
    <w:p w14:paraId="49C4DB41">
      <w:pPr>
        <w:pStyle w:val="11"/>
        <w:keepNext w:val="0"/>
        <w:keepLines w:val="0"/>
        <w:pageBreakBefore w:val="0"/>
        <w:widowControl w:val="0"/>
        <w:kinsoku/>
        <w:wordWrap/>
        <w:overflowPunct/>
        <w:topLinePunct w:val="0"/>
        <w:autoSpaceDE/>
        <w:autoSpaceDN/>
        <w:bidi w:val="0"/>
        <w:adjustRightInd w:val="0"/>
        <w:snapToGrid w:val="0"/>
        <w:spacing w:after="0" w:line="460" w:lineRule="atLeast"/>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评标委员会完成评标后，应当向招标人提交书面评标报告。评标报告应当由全体评标委员会成员签字。</w:t>
      </w:r>
    </w:p>
    <w:p w14:paraId="35E4452C">
      <w:pPr>
        <w:pStyle w:val="2"/>
        <w:keepNext w:val="0"/>
        <w:keepLines w:val="0"/>
        <w:pageBreakBefore w:val="0"/>
        <w:widowControl w:val="0"/>
        <w:numPr>
          <w:ilvl w:val="0"/>
          <w:numId w:val="60"/>
        </w:numPr>
        <w:tabs>
          <w:tab w:val="left" w:pos="840"/>
        </w:tabs>
        <w:kinsoku/>
        <w:wordWrap/>
        <w:overflowPunct/>
        <w:topLinePunct w:val="0"/>
        <w:autoSpaceDE/>
        <w:autoSpaceDN/>
        <w:bidi w:val="0"/>
        <w:adjustRightInd w:val="0"/>
        <w:snapToGrid w:val="0"/>
        <w:spacing w:before="0" w:beforeLines="0" w:after="0" w:line="460" w:lineRule="atLeast"/>
        <w:ind w:left="0" w:leftChars="0" w:firstLine="422" w:firstLineChars="200"/>
        <w:textAlignment w:val="auto"/>
        <w:rPr>
          <w:rFonts w:hint="eastAsia" w:ascii="宋体" w:hAnsi="宋体" w:eastAsia="宋体" w:cs="宋体"/>
          <w:b/>
          <w:color w:val="auto"/>
          <w:sz w:val="21"/>
          <w:szCs w:val="21"/>
          <w:highlight w:val="none"/>
        </w:rPr>
      </w:pPr>
      <w:bookmarkStart w:id="36" w:name="heading_29"/>
      <w:r>
        <w:rPr>
          <w:rFonts w:hint="eastAsia" w:ascii="宋体" w:hAnsi="宋体" w:eastAsia="宋体" w:cs="宋体"/>
          <w:color w:val="auto"/>
          <w:sz w:val="21"/>
          <w:szCs w:val="21"/>
          <w:highlight w:val="none"/>
        </w:rPr>
        <w:t>通用评标规则</w:t>
      </w:r>
      <w:bookmarkEnd w:id="36"/>
    </w:p>
    <w:p w14:paraId="5B87F326">
      <w:pPr>
        <w:pStyle w:val="3"/>
        <w:keepNext w:val="0"/>
        <w:keepLines w:val="0"/>
        <w:pageBreakBefore w:val="0"/>
        <w:widowControl w:val="0"/>
        <w:numPr>
          <w:ilvl w:val="0"/>
          <w:numId w:val="66"/>
        </w:numPr>
        <w:tabs>
          <w:tab w:val="left" w:pos="861"/>
          <w:tab w:val="clear" w:pos="210"/>
        </w:tabs>
        <w:kinsoku/>
        <w:wordWrap/>
        <w:overflowPunct/>
        <w:topLinePunct w:val="0"/>
        <w:autoSpaceDE/>
        <w:autoSpaceDN/>
        <w:bidi w:val="0"/>
        <w:adjustRightInd w:val="0"/>
        <w:snapToGrid w:val="0"/>
        <w:spacing w:after="0" w:line="460" w:lineRule="atLeast"/>
        <w:ind w:left="0" w:leftChars="0" w:firstLine="422" w:firstLineChars="200"/>
        <w:textAlignment w:val="auto"/>
        <w:rPr>
          <w:rFonts w:hint="eastAsia" w:ascii="宋体" w:hAnsi="宋体" w:eastAsia="宋体" w:cs="宋体"/>
          <w:b/>
          <w:color w:val="auto"/>
          <w:sz w:val="21"/>
          <w:szCs w:val="21"/>
          <w:highlight w:val="none"/>
        </w:rPr>
      </w:pPr>
      <w:r>
        <w:rPr>
          <w:rFonts w:hint="eastAsia" w:ascii="宋体" w:hAnsi="宋体" w:eastAsia="宋体" w:cs="宋体"/>
          <w:color w:val="auto"/>
          <w:sz w:val="21"/>
          <w:szCs w:val="21"/>
          <w:highlight w:val="none"/>
        </w:rPr>
        <w:t>评标程序</w:t>
      </w:r>
    </w:p>
    <w:p w14:paraId="297C516D">
      <w:pPr>
        <w:pStyle w:val="11"/>
        <w:keepNext w:val="0"/>
        <w:keepLines w:val="0"/>
        <w:pageBreakBefore w:val="0"/>
        <w:widowControl w:val="0"/>
        <w:kinsoku/>
        <w:wordWrap/>
        <w:overflowPunct/>
        <w:topLinePunct w:val="0"/>
        <w:autoSpaceDE/>
        <w:autoSpaceDN/>
        <w:bidi w:val="0"/>
        <w:adjustRightInd w:val="0"/>
        <w:snapToGrid w:val="0"/>
        <w:spacing w:after="0" w:line="460" w:lineRule="atLeast"/>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资质标、技术标（如有）、商务标应分别评审，评审后不得更改。</w:t>
      </w:r>
    </w:p>
    <w:p w14:paraId="7FFBA45F">
      <w:pPr>
        <w:pStyle w:val="3"/>
        <w:keepNext w:val="0"/>
        <w:keepLines w:val="0"/>
        <w:pageBreakBefore w:val="0"/>
        <w:widowControl w:val="0"/>
        <w:numPr>
          <w:ilvl w:val="0"/>
          <w:numId w:val="66"/>
        </w:numPr>
        <w:tabs>
          <w:tab w:val="left" w:pos="861"/>
          <w:tab w:val="clear" w:pos="210"/>
        </w:tabs>
        <w:kinsoku/>
        <w:wordWrap/>
        <w:overflowPunct/>
        <w:topLinePunct w:val="0"/>
        <w:autoSpaceDE/>
        <w:autoSpaceDN/>
        <w:bidi w:val="0"/>
        <w:adjustRightInd w:val="0"/>
        <w:snapToGrid w:val="0"/>
        <w:spacing w:after="0" w:line="460" w:lineRule="atLeast"/>
        <w:ind w:left="0" w:leftChars="0" w:firstLine="422" w:firstLineChars="200"/>
        <w:textAlignment w:val="auto"/>
        <w:rPr>
          <w:rFonts w:hint="eastAsia" w:ascii="宋体" w:hAnsi="宋体" w:eastAsia="宋体" w:cs="宋体"/>
          <w:b/>
          <w:color w:val="auto"/>
          <w:sz w:val="21"/>
          <w:szCs w:val="21"/>
          <w:highlight w:val="none"/>
        </w:rPr>
      </w:pPr>
      <w:r>
        <w:rPr>
          <w:rFonts w:hint="eastAsia" w:ascii="宋体" w:hAnsi="宋体" w:eastAsia="宋体" w:cs="宋体"/>
          <w:color w:val="auto"/>
          <w:sz w:val="21"/>
          <w:szCs w:val="21"/>
          <w:highlight w:val="none"/>
        </w:rPr>
        <w:t>不规范标书</w:t>
      </w:r>
    </w:p>
    <w:p w14:paraId="25DFAB49">
      <w:pPr>
        <w:pStyle w:val="11"/>
        <w:keepNext w:val="0"/>
        <w:keepLines w:val="0"/>
        <w:pageBreakBefore w:val="0"/>
        <w:widowControl w:val="0"/>
        <w:kinsoku/>
        <w:wordWrap/>
        <w:overflowPunct/>
        <w:topLinePunct w:val="0"/>
        <w:autoSpaceDE/>
        <w:autoSpaceDN/>
        <w:bidi w:val="0"/>
        <w:adjustRightInd w:val="0"/>
        <w:snapToGrid w:val="0"/>
        <w:spacing w:after="0" w:line="460" w:lineRule="atLeast"/>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评标审查中有发现投标文件或投标人行为存在不规范现象，且对照招标文件无法形成无效投标的，经评标委员会认定后对该投标人按其报价的0.3%-2%比例加价评审，该加价仅作评审方法使用，不影响投标人的实际报价和A值计算。</w:t>
      </w:r>
    </w:p>
    <w:p w14:paraId="50E4ADB5">
      <w:pPr>
        <w:pStyle w:val="3"/>
        <w:keepNext w:val="0"/>
        <w:keepLines w:val="0"/>
        <w:pageBreakBefore w:val="0"/>
        <w:widowControl w:val="0"/>
        <w:numPr>
          <w:ilvl w:val="0"/>
          <w:numId w:val="66"/>
        </w:numPr>
        <w:tabs>
          <w:tab w:val="left" w:pos="861"/>
          <w:tab w:val="clear" w:pos="210"/>
        </w:tabs>
        <w:kinsoku/>
        <w:wordWrap/>
        <w:overflowPunct/>
        <w:topLinePunct w:val="0"/>
        <w:autoSpaceDE/>
        <w:autoSpaceDN/>
        <w:bidi w:val="0"/>
        <w:adjustRightInd w:val="0"/>
        <w:snapToGrid w:val="0"/>
        <w:spacing w:after="0" w:line="460" w:lineRule="atLeast"/>
        <w:ind w:left="0" w:leftChars="0" w:firstLine="422" w:firstLineChars="200"/>
        <w:textAlignment w:val="auto"/>
        <w:rPr>
          <w:rFonts w:hint="eastAsia" w:ascii="宋体" w:hAnsi="宋体" w:eastAsia="宋体" w:cs="宋体"/>
          <w:b/>
          <w:color w:val="auto"/>
          <w:sz w:val="21"/>
          <w:szCs w:val="21"/>
          <w:highlight w:val="none"/>
        </w:rPr>
      </w:pPr>
      <w:r>
        <w:rPr>
          <w:rFonts w:hint="eastAsia" w:ascii="宋体" w:hAnsi="宋体" w:eastAsia="宋体" w:cs="宋体"/>
          <w:color w:val="auto"/>
          <w:sz w:val="21"/>
          <w:szCs w:val="21"/>
          <w:highlight w:val="none"/>
        </w:rPr>
        <w:t>计价文件评审规定</w:t>
      </w:r>
    </w:p>
    <w:p w14:paraId="186B54F2">
      <w:pPr>
        <w:pStyle w:val="11"/>
        <w:keepNext w:val="0"/>
        <w:keepLines w:val="0"/>
        <w:pageBreakBefore w:val="0"/>
        <w:widowControl w:val="0"/>
        <w:kinsoku/>
        <w:wordWrap/>
        <w:overflowPunct/>
        <w:topLinePunct w:val="0"/>
        <w:autoSpaceDE/>
        <w:autoSpaceDN/>
        <w:bidi w:val="0"/>
        <w:adjustRightInd w:val="0"/>
        <w:snapToGrid w:val="0"/>
        <w:spacing w:after="0" w:line="460" w:lineRule="atLeast"/>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评标委员会认为投标人的投标报价有可能低于其个别成本时，应当要求投标人以书面方式做出澄清，并提供相关证明材料后再进行认定。</w:t>
      </w:r>
    </w:p>
    <w:p w14:paraId="237EE4EA">
      <w:pPr>
        <w:pStyle w:val="3"/>
        <w:keepNext w:val="0"/>
        <w:keepLines w:val="0"/>
        <w:pageBreakBefore w:val="0"/>
        <w:widowControl w:val="0"/>
        <w:numPr>
          <w:ilvl w:val="0"/>
          <w:numId w:val="66"/>
        </w:numPr>
        <w:tabs>
          <w:tab w:val="left" w:pos="861"/>
          <w:tab w:val="clear" w:pos="210"/>
        </w:tabs>
        <w:kinsoku/>
        <w:wordWrap/>
        <w:overflowPunct/>
        <w:topLinePunct w:val="0"/>
        <w:autoSpaceDE/>
        <w:autoSpaceDN/>
        <w:bidi w:val="0"/>
        <w:adjustRightInd w:val="0"/>
        <w:snapToGrid w:val="0"/>
        <w:spacing w:after="0" w:line="460" w:lineRule="atLeast"/>
        <w:ind w:left="0" w:leftChars="0" w:firstLine="422" w:firstLineChars="200"/>
        <w:textAlignment w:val="auto"/>
        <w:rPr>
          <w:rFonts w:hint="eastAsia" w:ascii="宋体" w:hAnsi="宋体" w:eastAsia="宋体" w:cs="宋体"/>
          <w:b/>
          <w:color w:val="auto"/>
          <w:sz w:val="21"/>
          <w:szCs w:val="21"/>
          <w:highlight w:val="none"/>
        </w:rPr>
      </w:pPr>
      <w:r>
        <w:rPr>
          <w:rFonts w:hint="eastAsia" w:ascii="宋体" w:hAnsi="宋体" w:eastAsia="宋体" w:cs="宋体"/>
          <w:color w:val="auto"/>
          <w:sz w:val="21"/>
          <w:szCs w:val="21"/>
          <w:highlight w:val="none"/>
        </w:rPr>
        <w:t>争议处理</w:t>
      </w:r>
    </w:p>
    <w:p w14:paraId="0A86859D">
      <w:pPr>
        <w:pStyle w:val="11"/>
        <w:keepNext w:val="0"/>
        <w:keepLines w:val="0"/>
        <w:pageBreakBefore w:val="0"/>
        <w:widowControl w:val="0"/>
        <w:kinsoku/>
        <w:wordWrap/>
        <w:overflowPunct/>
        <w:topLinePunct w:val="0"/>
        <w:autoSpaceDE/>
        <w:autoSpaceDN/>
        <w:bidi w:val="0"/>
        <w:adjustRightInd w:val="0"/>
        <w:snapToGrid w:val="0"/>
        <w:spacing w:after="0" w:line="460" w:lineRule="atLeast"/>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评标中发生重大情况或重大争议，需要进一步调查了解、协调处理的，现场监督人员报招标投标管理部门同意后可暂时休会，待有关问题得到澄清后再行复会。休会期间，所有招投标资料一律封存评标区，所有与会人员一律不得泄露评标情况。</w:t>
      </w:r>
    </w:p>
    <w:p w14:paraId="0B61FFE2">
      <w:pPr>
        <w:pStyle w:val="3"/>
        <w:keepNext w:val="0"/>
        <w:keepLines w:val="0"/>
        <w:pageBreakBefore w:val="0"/>
        <w:widowControl w:val="0"/>
        <w:numPr>
          <w:ilvl w:val="0"/>
          <w:numId w:val="66"/>
        </w:numPr>
        <w:tabs>
          <w:tab w:val="left" w:pos="861"/>
          <w:tab w:val="clear" w:pos="210"/>
        </w:tabs>
        <w:kinsoku/>
        <w:wordWrap/>
        <w:overflowPunct/>
        <w:topLinePunct w:val="0"/>
        <w:autoSpaceDE/>
        <w:autoSpaceDN/>
        <w:bidi w:val="0"/>
        <w:adjustRightInd w:val="0"/>
        <w:snapToGrid w:val="0"/>
        <w:spacing w:after="0" w:line="460" w:lineRule="atLeast"/>
        <w:ind w:left="0" w:leftChars="0" w:firstLine="422" w:firstLineChars="200"/>
        <w:textAlignment w:val="auto"/>
        <w:rPr>
          <w:rFonts w:hint="eastAsia" w:ascii="宋体" w:hAnsi="宋体" w:eastAsia="宋体" w:cs="宋体"/>
          <w:b/>
          <w:color w:val="auto"/>
          <w:sz w:val="21"/>
          <w:szCs w:val="21"/>
          <w:highlight w:val="none"/>
        </w:rPr>
      </w:pPr>
      <w:r>
        <w:rPr>
          <w:rFonts w:hint="eastAsia" w:ascii="宋体" w:hAnsi="宋体" w:eastAsia="宋体" w:cs="宋体"/>
          <w:color w:val="auto"/>
          <w:sz w:val="21"/>
          <w:szCs w:val="21"/>
          <w:highlight w:val="none"/>
        </w:rPr>
        <w:t>违法违纪行为</w:t>
      </w:r>
    </w:p>
    <w:p w14:paraId="41DE5E46">
      <w:pPr>
        <w:pStyle w:val="11"/>
        <w:keepNext w:val="0"/>
        <w:keepLines w:val="0"/>
        <w:pageBreakBefore w:val="0"/>
        <w:widowControl w:val="0"/>
        <w:kinsoku/>
        <w:wordWrap/>
        <w:overflowPunct/>
        <w:topLinePunct w:val="0"/>
        <w:autoSpaceDE/>
        <w:autoSpaceDN/>
        <w:bidi w:val="0"/>
        <w:adjustRightInd w:val="0"/>
        <w:snapToGrid w:val="0"/>
        <w:spacing w:after="0" w:line="460" w:lineRule="atLeast"/>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在招投标过程中发生行贿受贿、扰乱招投标活动秩序及其他严重违法违纪行为的，一律取消有关责任人参与招投标活动的资格；影响评审结果的，应宣布评审结果无效。</w:t>
      </w:r>
    </w:p>
    <w:p w14:paraId="5C3E676A">
      <w:pPr>
        <w:pStyle w:val="3"/>
        <w:keepNext w:val="0"/>
        <w:keepLines w:val="0"/>
        <w:pageBreakBefore w:val="0"/>
        <w:widowControl w:val="0"/>
        <w:numPr>
          <w:ilvl w:val="0"/>
          <w:numId w:val="66"/>
        </w:numPr>
        <w:tabs>
          <w:tab w:val="left" w:pos="861"/>
          <w:tab w:val="clear" w:pos="210"/>
        </w:tabs>
        <w:kinsoku/>
        <w:wordWrap/>
        <w:overflowPunct/>
        <w:topLinePunct w:val="0"/>
        <w:autoSpaceDE/>
        <w:autoSpaceDN/>
        <w:bidi w:val="0"/>
        <w:adjustRightInd w:val="0"/>
        <w:snapToGrid w:val="0"/>
        <w:spacing w:after="0" w:line="460" w:lineRule="atLeast"/>
        <w:ind w:left="0" w:leftChars="0" w:firstLine="422" w:firstLineChars="200"/>
        <w:textAlignment w:val="auto"/>
        <w:rPr>
          <w:rFonts w:hint="eastAsia" w:ascii="宋体" w:hAnsi="宋体" w:eastAsia="宋体" w:cs="宋体"/>
          <w:b/>
          <w:color w:val="auto"/>
          <w:sz w:val="21"/>
          <w:szCs w:val="21"/>
          <w:highlight w:val="none"/>
        </w:rPr>
      </w:pPr>
      <w:r>
        <w:rPr>
          <w:rFonts w:hint="eastAsia" w:ascii="宋体" w:hAnsi="宋体" w:eastAsia="宋体" w:cs="宋体"/>
          <w:color w:val="auto"/>
          <w:sz w:val="21"/>
          <w:szCs w:val="21"/>
          <w:highlight w:val="none"/>
        </w:rPr>
        <w:t>其它</w:t>
      </w:r>
    </w:p>
    <w:p w14:paraId="5A30C7CC">
      <w:pPr>
        <w:pStyle w:val="11"/>
        <w:keepNext w:val="0"/>
        <w:keepLines w:val="0"/>
        <w:pageBreakBefore w:val="0"/>
        <w:widowControl w:val="0"/>
        <w:kinsoku/>
        <w:wordWrap/>
        <w:overflowPunct/>
        <w:topLinePunct w:val="0"/>
        <w:autoSpaceDE/>
        <w:autoSpaceDN/>
        <w:bidi w:val="0"/>
        <w:adjustRightInd w:val="0"/>
        <w:snapToGrid w:val="0"/>
        <w:spacing w:after="0" w:line="460" w:lineRule="atLeast"/>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在评审过程中，一旦发现招标文件中发现以下现象的，经评标委员会认定，删除该项评审或记分。</w:t>
      </w:r>
    </w:p>
    <w:p w14:paraId="5CCB54A4">
      <w:pPr>
        <w:pStyle w:val="11"/>
        <w:keepNext w:val="0"/>
        <w:keepLines w:val="0"/>
        <w:pageBreakBefore w:val="0"/>
        <w:widowControl w:val="0"/>
        <w:numPr>
          <w:ilvl w:val="0"/>
          <w:numId w:val="67"/>
        </w:numPr>
        <w:tabs>
          <w:tab w:val="left" w:pos="1080"/>
        </w:tabs>
        <w:kinsoku/>
        <w:wordWrap/>
        <w:overflowPunct/>
        <w:topLinePunct w:val="0"/>
        <w:autoSpaceDE/>
        <w:autoSpaceDN/>
        <w:bidi w:val="0"/>
        <w:adjustRightInd w:val="0"/>
        <w:snapToGrid w:val="0"/>
        <w:spacing w:after="0" w:line="460" w:lineRule="atLeast"/>
        <w:ind w:left="0" w:leftChars="0" w:firstLine="420" w:firstLineChars="200"/>
        <w:textAlignment w:val="auto"/>
        <w:rPr>
          <w:rFonts w:hint="eastAsia" w:ascii="宋体" w:hAnsi="宋体" w:eastAsia="宋体" w:cs="宋体"/>
          <w:b w:val="0"/>
          <w:color w:val="auto"/>
          <w:sz w:val="21"/>
          <w:szCs w:val="21"/>
          <w:highlight w:val="none"/>
        </w:rPr>
      </w:pPr>
      <w:r>
        <w:rPr>
          <w:rFonts w:hint="eastAsia" w:ascii="宋体" w:hAnsi="宋体" w:eastAsia="宋体" w:cs="宋体"/>
          <w:color w:val="auto"/>
          <w:sz w:val="21"/>
          <w:szCs w:val="21"/>
          <w:highlight w:val="none"/>
        </w:rPr>
        <w:t>招标文件内容中某项条款，有明显倾向或歧视的；</w:t>
      </w:r>
    </w:p>
    <w:p w14:paraId="73FCAD80">
      <w:pPr>
        <w:keepNext w:val="0"/>
        <w:keepLines w:val="0"/>
        <w:pageBreakBefore w:val="0"/>
        <w:widowControl w:val="0"/>
        <w:kinsoku/>
        <w:wordWrap/>
        <w:overflowPunct/>
        <w:topLinePunct w:val="0"/>
        <w:autoSpaceDE/>
        <w:autoSpaceDN/>
        <w:bidi w:val="0"/>
        <w:adjustRightInd w:val="0"/>
        <w:snapToGrid w:val="0"/>
        <w:spacing w:line="460" w:lineRule="atLeast"/>
        <w:ind w:left="0" w:firstLine="420" w:firstLineChars="20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（2）招标文件内容中某项条款有多种解释的。</w:t>
      </w:r>
    </w:p>
    <w:p w14:paraId="6CBF5849">
      <w:pPr>
        <w:rPr>
          <w:rFonts w:hint="eastAsia" w:ascii="宋体" w:hAnsi="宋体" w:eastAsia="宋体" w:cs="宋体"/>
          <w:color w:val="auto"/>
          <w:sz w:val="28"/>
          <w:szCs w:val="28"/>
          <w:highlight w:val="none"/>
        </w:rPr>
      </w:pPr>
      <w:bookmarkStart w:id="37" w:name="heading_30"/>
      <w:r>
        <w:rPr>
          <w:rFonts w:hint="eastAsia" w:ascii="宋体" w:hAnsi="宋体" w:eastAsia="宋体" w:cs="宋体"/>
          <w:b/>
          <w:color w:val="auto"/>
          <w:sz w:val="32"/>
          <w:szCs w:val="22"/>
          <w:highlight w:val="none"/>
        </w:rPr>
        <w:br w:type="page"/>
      </w:r>
      <w:r>
        <w:rPr>
          <w:rFonts w:hint="eastAsia" w:ascii="宋体" w:hAnsi="宋体" w:eastAsia="宋体" w:cs="宋体"/>
          <w:b/>
          <w:color w:val="auto"/>
          <w:sz w:val="32"/>
          <w:szCs w:val="22"/>
          <w:highlight w:val="none"/>
          <w:lang w:val="en-US" w:eastAsia="zh-CN"/>
        </w:rPr>
        <w:t xml:space="preserve">                 </w:t>
      </w:r>
      <w:r>
        <w:rPr>
          <w:rFonts w:hint="eastAsia" w:ascii="宋体" w:hAnsi="宋体" w:eastAsia="宋体" w:cs="宋体"/>
          <w:b/>
          <w:color w:val="auto"/>
          <w:sz w:val="28"/>
          <w:szCs w:val="28"/>
          <w:highlight w:val="none"/>
        </w:rPr>
        <w:t>第四章 合同条款及格式</w:t>
      </w:r>
      <w:bookmarkEnd w:id="37"/>
    </w:p>
    <w:p w14:paraId="354618EA">
      <w:pPr>
        <w:keepNext w:val="0"/>
        <w:keepLines w:val="0"/>
        <w:pageBreakBefore w:val="0"/>
        <w:widowControl w:val="0"/>
        <w:kinsoku/>
        <w:wordWrap/>
        <w:overflowPunct/>
        <w:topLinePunct w:val="0"/>
        <w:autoSpaceDE/>
        <w:autoSpaceDN/>
        <w:bidi w:val="0"/>
        <w:adjustRightInd w:val="0"/>
        <w:snapToGrid w:val="0"/>
        <w:spacing w:line="460" w:lineRule="atLeast"/>
        <w:ind w:left="0" w:firstLine="1897" w:firstLineChars="900"/>
        <w:jc w:val="left"/>
        <w:textAlignment w:val="auto"/>
        <w:outlineLvl w:val="0"/>
        <w:rPr>
          <w:rFonts w:hint="eastAsia" w:ascii="宋体" w:hAnsi="宋体" w:eastAsia="宋体" w:cs="宋体"/>
          <w:color w:val="auto"/>
          <w:sz w:val="21"/>
          <w:szCs w:val="21"/>
          <w:highlight w:val="none"/>
          <w:lang w:val="en-US" w:eastAsia="zh-CN"/>
        </w:rPr>
      </w:pPr>
      <w:r>
        <w:rPr>
          <w:rFonts w:hint="eastAsia" w:ascii="宋体" w:hAnsi="宋体" w:eastAsia="宋体" w:cs="宋体"/>
          <w:b/>
          <w:color w:val="auto"/>
          <w:sz w:val="21"/>
          <w:szCs w:val="21"/>
          <w:highlight w:val="none"/>
          <w:lang w:eastAsia="zh-CN"/>
        </w:rPr>
        <w:t>2026年度盐城国际会展中心弱电智能化维保及活动保障服务项目</w:t>
      </w:r>
      <w:r>
        <w:rPr>
          <w:rFonts w:hint="eastAsia" w:ascii="宋体" w:hAnsi="宋体" w:eastAsia="宋体" w:cs="宋体"/>
          <w:b/>
          <w:color w:val="auto"/>
          <w:sz w:val="21"/>
          <w:szCs w:val="21"/>
          <w:highlight w:val="none"/>
          <w:lang w:val="en-US" w:eastAsia="zh-CN"/>
        </w:rPr>
        <w:t>合同</w:t>
      </w:r>
    </w:p>
    <w:p w14:paraId="045ED3EF">
      <w:pPr>
        <w:keepNext w:val="0"/>
        <w:keepLines w:val="0"/>
        <w:pageBreakBefore w:val="0"/>
        <w:widowControl w:val="0"/>
        <w:kinsoku/>
        <w:wordWrap/>
        <w:overflowPunct/>
        <w:topLinePunct w:val="0"/>
        <w:autoSpaceDE/>
        <w:autoSpaceDN/>
        <w:bidi w:val="0"/>
        <w:adjustRightInd w:val="0"/>
        <w:snapToGrid w:val="0"/>
        <w:spacing w:line="460" w:lineRule="atLeast"/>
        <w:ind w:left="0"/>
        <w:jc w:val="left"/>
        <w:textAlignment w:val="auto"/>
        <w:outlineLvl w:val="9"/>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甲方（招标人）：</w:t>
      </w:r>
      <w:r>
        <w:rPr>
          <w:rFonts w:hint="eastAsia" w:ascii="宋体" w:hAnsi="宋体" w:eastAsia="宋体" w:cs="宋体"/>
          <w:color w:val="auto"/>
          <w:sz w:val="21"/>
          <w:szCs w:val="21"/>
          <w:highlight w:val="none"/>
          <w:u w:val="single"/>
          <w:lang w:eastAsia="zh-CN"/>
        </w:rPr>
        <w:t>盐城东方投资开发集团有限公司</w:t>
      </w:r>
    </w:p>
    <w:p w14:paraId="48CDBFCF">
      <w:pPr>
        <w:keepNext w:val="0"/>
        <w:keepLines w:val="0"/>
        <w:pageBreakBefore w:val="0"/>
        <w:widowControl w:val="0"/>
        <w:kinsoku/>
        <w:wordWrap/>
        <w:overflowPunct/>
        <w:topLinePunct w:val="0"/>
        <w:autoSpaceDE/>
        <w:autoSpaceDN/>
        <w:bidi w:val="0"/>
        <w:adjustRightInd w:val="0"/>
        <w:snapToGrid w:val="0"/>
        <w:spacing w:line="460" w:lineRule="atLeast"/>
        <w:ind w:left="0"/>
        <w:jc w:val="left"/>
        <w:textAlignment w:val="auto"/>
        <w:outlineLvl w:val="9"/>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乙方（中标人）：</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lang w:val="en-US" w:eastAsia="zh-CN"/>
        </w:rPr>
        <w:t xml:space="preserve">  </w:t>
      </w:r>
    </w:p>
    <w:p w14:paraId="3CEA0640">
      <w:pPr>
        <w:pStyle w:val="2"/>
        <w:keepNext w:val="0"/>
        <w:keepLines w:val="0"/>
        <w:pageBreakBefore w:val="0"/>
        <w:widowControl w:val="0"/>
        <w:numPr>
          <w:ilvl w:val="0"/>
          <w:numId w:val="68"/>
        </w:numPr>
        <w:tabs>
          <w:tab w:val="left" w:pos="1081"/>
        </w:tabs>
        <w:kinsoku/>
        <w:wordWrap/>
        <w:overflowPunct/>
        <w:topLinePunct w:val="0"/>
        <w:autoSpaceDE/>
        <w:autoSpaceDN/>
        <w:bidi w:val="0"/>
        <w:adjustRightInd w:val="0"/>
        <w:snapToGrid w:val="0"/>
        <w:spacing w:before="0" w:beforeLines="0" w:after="0" w:line="460" w:lineRule="atLeast"/>
        <w:ind w:left="-2" w:leftChars="0" w:firstLine="422" w:firstLineChars="0"/>
        <w:textAlignment w:val="auto"/>
        <w:rPr>
          <w:rFonts w:hint="eastAsia" w:ascii="宋体" w:hAnsi="宋体" w:eastAsia="宋体" w:cs="宋体"/>
          <w:b/>
          <w:color w:val="auto"/>
          <w:sz w:val="21"/>
          <w:szCs w:val="21"/>
          <w:highlight w:val="none"/>
        </w:rPr>
      </w:pPr>
      <w:bookmarkStart w:id="38" w:name="heading_33"/>
      <w:r>
        <w:rPr>
          <w:rFonts w:hint="eastAsia" w:ascii="宋体" w:hAnsi="宋体" w:eastAsia="宋体" w:cs="宋体"/>
          <w:color w:val="auto"/>
          <w:sz w:val="21"/>
          <w:szCs w:val="21"/>
          <w:highlight w:val="none"/>
        </w:rPr>
        <w:t>项目概况</w:t>
      </w:r>
      <w:bookmarkEnd w:id="38"/>
    </w:p>
    <w:p w14:paraId="0DB6B9B2">
      <w:pPr>
        <w:pStyle w:val="11"/>
        <w:keepNext w:val="0"/>
        <w:keepLines w:val="0"/>
        <w:pageBreakBefore w:val="0"/>
        <w:widowControl w:val="0"/>
        <w:numPr>
          <w:ilvl w:val="0"/>
          <w:numId w:val="69"/>
        </w:numPr>
        <w:tabs>
          <w:tab w:val="left" w:pos="780"/>
          <w:tab w:val="clear" w:pos="210"/>
        </w:tabs>
        <w:kinsoku/>
        <w:wordWrap/>
        <w:overflowPunct/>
        <w:topLinePunct w:val="0"/>
        <w:autoSpaceDE/>
        <w:autoSpaceDN/>
        <w:bidi w:val="0"/>
        <w:adjustRightInd w:val="0"/>
        <w:snapToGrid w:val="0"/>
        <w:spacing w:after="0" w:line="460" w:lineRule="atLeast"/>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项目名称：</w:t>
      </w:r>
      <w:r>
        <w:rPr>
          <w:rFonts w:hint="eastAsia" w:ascii="宋体" w:hAnsi="宋体" w:cs="宋体"/>
          <w:color w:val="auto"/>
          <w:sz w:val="21"/>
          <w:szCs w:val="21"/>
          <w:highlight w:val="none"/>
          <w:lang w:eastAsia="zh-CN"/>
        </w:rPr>
        <w:t>2026年度盐城国际会展中心弱电智能化维保及活动保障服务项目</w:t>
      </w:r>
    </w:p>
    <w:p w14:paraId="2B4D09A8">
      <w:pPr>
        <w:pStyle w:val="11"/>
        <w:keepNext w:val="0"/>
        <w:keepLines w:val="0"/>
        <w:pageBreakBefore w:val="0"/>
        <w:widowControl w:val="0"/>
        <w:numPr>
          <w:ilvl w:val="0"/>
          <w:numId w:val="69"/>
        </w:numPr>
        <w:tabs>
          <w:tab w:val="left" w:pos="780"/>
          <w:tab w:val="clear" w:pos="210"/>
        </w:tabs>
        <w:kinsoku/>
        <w:wordWrap/>
        <w:overflowPunct/>
        <w:topLinePunct w:val="0"/>
        <w:autoSpaceDE/>
        <w:autoSpaceDN/>
        <w:bidi w:val="0"/>
        <w:adjustRightInd w:val="0"/>
        <w:snapToGrid w:val="0"/>
        <w:spacing w:after="0" w:line="460" w:lineRule="atLeast"/>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项目地点：盐城国际会展中心内</w:t>
      </w:r>
    </w:p>
    <w:p w14:paraId="54192A37">
      <w:pPr>
        <w:pStyle w:val="11"/>
        <w:keepNext w:val="0"/>
        <w:keepLines w:val="0"/>
        <w:pageBreakBefore w:val="0"/>
        <w:widowControl w:val="0"/>
        <w:numPr>
          <w:ilvl w:val="0"/>
          <w:numId w:val="69"/>
        </w:numPr>
        <w:tabs>
          <w:tab w:val="left" w:pos="780"/>
          <w:tab w:val="clear" w:pos="210"/>
        </w:tabs>
        <w:kinsoku/>
        <w:wordWrap/>
        <w:overflowPunct/>
        <w:topLinePunct w:val="0"/>
        <w:autoSpaceDE/>
        <w:autoSpaceDN/>
        <w:bidi w:val="0"/>
        <w:adjustRightInd w:val="0"/>
        <w:snapToGrid w:val="0"/>
        <w:spacing w:after="0" w:line="460" w:lineRule="atLeast"/>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服务范围：详见招标文件</w:t>
      </w:r>
      <w:r>
        <w:rPr>
          <w:rFonts w:hint="eastAsia" w:ascii="宋体" w:hAnsi="宋体" w:cs="宋体"/>
          <w:color w:val="auto"/>
          <w:sz w:val="21"/>
          <w:szCs w:val="21"/>
          <w:highlight w:val="none"/>
          <w:lang w:val="en-US" w:eastAsia="zh-CN"/>
        </w:rPr>
        <w:t>第五章招标需求</w:t>
      </w:r>
    </w:p>
    <w:p w14:paraId="503D5074">
      <w:pPr>
        <w:pStyle w:val="11"/>
        <w:keepNext w:val="0"/>
        <w:keepLines w:val="0"/>
        <w:pageBreakBefore w:val="0"/>
        <w:widowControl w:val="0"/>
        <w:numPr>
          <w:ilvl w:val="0"/>
          <w:numId w:val="69"/>
        </w:numPr>
        <w:tabs>
          <w:tab w:val="left" w:pos="780"/>
          <w:tab w:val="clear" w:pos="210"/>
        </w:tabs>
        <w:kinsoku/>
        <w:wordWrap/>
        <w:overflowPunct/>
        <w:topLinePunct w:val="0"/>
        <w:autoSpaceDE/>
        <w:autoSpaceDN/>
        <w:bidi w:val="0"/>
        <w:adjustRightInd w:val="0"/>
        <w:snapToGrid w:val="0"/>
        <w:spacing w:after="0" w:line="460" w:lineRule="atLeast"/>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服务期：一年</w:t>
      </w:r>
      <w:r>
        <w:rPr>
          <w:rFonts w:hint="eastAsia" w:ascii="宋体" w:hAnsi="宋体" w:cs="宋体"/>
          <w:color w:val="auto"/>
          <w:sz w:val="21"/>
          <w:szCs w:val="21"/>
          <w:highlight w:val="none"/>
          <w:lang w:eastAsia="zh-CN"/>
        </w:rPr>
        <w:t>（2026.3.29-2027.3.28），</w:t>
      </w:r>
      <w:r>
        <w:rPr>
          <w:rFonts w:hint="eastAsia" w:ascii="宋体" w:hAnsi="宋体" w:eastAsia="宋体" w:cs="宋体"/>
          <w:color w:val="auto"/>
          <w:sz w:val="21"/>
          <w:szCs w:val="21"/>
          <w:highlight w:val="none"/>
        </w:rPr>
        <w:t>含一个月试用期</w:t>
      </w:r>
      <w:r>
        <w:rPr>
          <w:rFonts w:hint="eastAsia" w:ascii="宋体" w:hAnsi="宋体" w:cs="宋体"/>
          <w:color w:val="auto"/>
          <w:sz w:val="21"/>
          <w:szCs w:val="21"/>
          <w:highlight w:val="none"/>
          <w:lang w:eastAsia="zh-CN"/>
        </w:rPr>
        <w:t>。</w:t>
      </w:r>
    </w:p>
    <w:p w14:paraId="195FB1F7">
      <w:pPr>
        <w:pStyle w:val="11"/>
        <w:keepNext w:val="0"/>
        <w:keepLines w:val="0"/>
        <w:pageBreakBefore w:val="0"/>
        <w:widowControl w:val="0"/>
        <w:numPr>
          <w:ilvl w:val="0"/>
          <w:numId w:val="69"/>
        </w:numPr>
        <w:tabs>
          <w:tab w:val="left" w:pos="780"/>
          <w:tab w:val="clear" w:pos="210"/>
        </w:tabs>
        <w:kinsoku/>
        <w:wordWrap/>
        <w:overflowPunct/>
        <w:topLinePunct w:val="0"/>
        <w:autoSpaceDE/>
        <w:autoSpaceDN/>
        <w:bidi w:val="0"/>
        <w:adjustRightInd w:val="0"/>
        <w:snapToGrid w:val="0"/>
        <w:spacing w:after="0" w:line="460" w:lineRule="atLeast"/>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合同价：人民币（大写） </w:t>
      </w:r>
      <w:r>
        <w:rPr>
          <w:rFonts w:hint="eastAsia" w:ascii="宋体" w:hAnsi="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 xml:space="preserve">（￥： </w:t>
      </w:r>
      <w:r>
        <w:rPr>
          <w:rFonts w:hint="eastAsia" w:ascii="宋体" w:hAnsi="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元）</w:t>
      </w:r>
      <w:r>
        <w:rPr>
          <w:rFonts w:hint="eastAsia" w:ascii="宋体" w:hAnsi="宋体" w:cs="宋体"/>
          <w:color w:val="auto"/>
          <w:sz w:val="21"/>
          <w:szCs w:val="21"/>
          <w:highlight w:val="none"/>
          <w:lang w:eastAsia="zh-CN"/>
        </w:rPr>
        <w:t>。</w:t>
      </w:r>
    </w:p>
    <w:p w14:paraId="131A6426">
      <w:pPr>
        <w:pStyle w:val="2"/>
        <w:keepNext w:val="0"/>
        <w:keepLines w:val="0"/>
        <w:pageBreakBefore w:val="0"/>
        <w:widowControl w:val="0"/>
        <w:numPr>
          <w:ilvl w:val="0"/>
          <w:numId w:val="68"/>
        </w:numPr>
        <w:tabs>
          <w:tab w:val="left" w:pos="1081"/>
        </w:tabs>
        <w:kinsoku/>
        <w:wordWrap/>
        <w:overflowPunct/>
        <w:topLinePunct w:val="0"/>
        <w:autoSpaceDE/>
        <w:autoSpaceDN/>
        <w:bidi w:val="0"/>
        <w:adjustRightInd w:val="0"/>
        <w:snapToGrid w:val="0"/>
        <w:spacing w:before="0" w:beforeLines="0" w:after="0" w:line="460" w:lineRule="atLeast"/>
        <w:ind w:left="-2" w:leftChars="0" w:firstLine="422" w:firstLineChars="0"/>
        <w:textAlignment w:val="auto"/>
        <w:rPr>
          <w:rFonts w:hint="eastAsia" w:ascii="宋体" w:hAnsi="宋体" w:eastAsia="宋体" w:cs="宋体"/>
          <w:b/>
          <w:color w:val="auto"/>
          <w:sz w:val="21"/>
          <w:szCs w:val="21"/>
          <w:highlight w:val="none"/>
        </w:rPr>
      </w:pPr>
      <w:bookmarkStart w:id="39" w:name="heading_34"/>
      <w:r>
        <w:rPr>
          <w:rFonts w:hint="eastAsia" w:ascii="宋体" w:hAnsi="宋体" w:eastAsia="宋体" w:cs="宋体"/>
          <w:color w:val="auto"/>
          <w:sz w:val="21"/>
          <w:szCs w:val="21"/>
          <w:highlight w:val="none"/>
        </w:rPr>
        <w:t>双方权利和义务</w:t>
      </w:r>
      <w:bookmarkEnd w:id="39"/>
    </w:p>
    <w:p w14:paraId="6F5B4083">
      <w:pPr>
        <w:pStyle w:val="3"/>
        <w:keepNext w:val="0"/>
        <w:keepLines w:val="0"/>
        <w:pageBreakBefore w:val="0"/>
        <w:widowControl w:val="0"/>
        <w:numPr>
          <w:ilvl w:val="0"/>
          <w:numId w:val="70"/>
        </w:numPr>
        <w:tabs>
          <w:tab w:val="left" w:pos="1282"/>
        </w:tabs>
        <w:kinsoku/>
        <w:wordWrap/>
        <w:overflowPunct/>
        <w:topLinePunct w:val="0"/>
        <w:autoSpaceDE/>
        <w:autoSpaceDN/>
        <w:bidi w:val="0"/>
        <w:adjustRightInd w:val="0"/>
        <w:snapToGrid w:val="0"/>
        <w:spacing w:after="0" w:line="460" w:lineRule="atLeast"/>
        <w:ind w:left="0" w:leftChars="0" w:firstLine="422" w:firstLineChars="200"/>
        <w:textAlignment w:val="auto"/>
        <w:rPr>
          <w:rFonts w:hint="eastAsia" w:ascii="宋体" w:hAnsi="宋体" w:eastAsia="宋体" w:cs="宋体"/>
          <w:b/>
          <w:color w:val="auto"/>
          <w:sz w:val="21"/>
          <w:szCs w:val="21"/>
          <w:highlight w:val="none"/>
        </w:rPr>
      </w:pPr>
      <w:bookmarkStart w:id="40" w:name="heading_35"/>
      <w:r>
        <w:rPr>
          <w:rFonts w:hint="eastAsia" w:ascii="宋体" w:hAnsi="宋体" w:eastAsia="宋体" w:cs="宋体"/>
          <w:color w:val="auto"/>
          <w:sz w:val="21"/>
          <w:szCs w:val="21"/>
          <w:highlight w:val="none"/>
        </w:rPr>
        <w:t>甲方权利和义务</w:t>
      </w:r>
      <w:bookmarkEnd w:id="40"/>
    </w:p>
    <w:p w14:paraId="35D39B44">
      <w:pPr>
        <w:pStyle w:val="11"/>
        <w:keepNext w:val="0"/>
        <w:keepLines w:val="0"/>
        <w:pageBreakBefore w:val="0"/>
        <w:widowControl w:val="0"/>
        <w:numPr>
          <w:ilvl w:val="0"/>
          <w:numId w:val="71"/>
        </w:numPr>
        <w:tabs>
          <w:tab w:val="left" w:pos="780"/>
          <w:tab w:val="clear" w:pos="210"/>
        </w:tabs>
        <w:kinsoku/>
        <w:wordWrap/>
        <w:overflowPunct/>
        <w:topLinePunct w:val="0"/>
        <w:autoSpaceDE/>
        <w:autoSpaceDN/>
        <w:bidi w:val="0"/>
        <w:adjustRightInd w:val="0"/>
        <w:snapToGrid w:val="0"/>
        <w:spacing w:after="0" w:line="460" w:lineRule="atLeast"/>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向乙方提供必要的现场工作条件和相关资料。</w:t>
      </w:r>
    </w:p>
    <w:p w14:paraId="04631B27">
      <w:pPr>
        <w:pStyle w:val="11"/>
        <w:keepNext w:val="0"/>
        <w:keepLines w:val="0"/>
        <w:pageBreakBefore w:val="0"/>
        <w:widowControl w:val="0"/>
        <w:numPr>
          <w:ilvl w:val="0"/>
          <w:numId w:val="71"/>
        </w:numPr>
        <w:tabs>
          <w:tab w:val="left" w:pos="780"/>
          <w:tab w:val="clear" w:pos="210"/>
        </w:tabs>
        <w:kinsoku/>
        <w:wordWrap/>
        <w:overflowPunct/>
        <w:topLinePunct w:val="0"/>
        <w:autoSpaceDE/>
        <w:autoSpaceDN/>
        <w:bidi w:val="0"/>
        <w:adjustRightInd w:val="0"/>
        <w:snapToGrid w:val="0"/>
        <w:spacing w:after="0" w:line="460" w:lineRule="atLeast"/>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对乙方的服务质量、工作进度进行监督和检查，提出整改意见。</w:t>
      </w:r>
    </w:p>
    <w:p w14:paraId="29E36374">
      <w:pPr>
        <w:pStyle w:val="11"/>
        <w:keepNext w:val="0"/>
        <w:keepLines w:val="0"/>
        <w:pageBreakBefore w:val="0"/>
        <w:widowControl w:val="0"/>
        <w:numPr>
          <w:ilvl w:val="0"/>
          <w:numId w:val="71"/>
        </w:numPr>
        <w:tabs>
          <w:tab w:val="left" w:pos="780"/>
          <w:tab w:val="clear" w:pos="210"/>
        </w:tabs>
        <w:kinsoku/>
        <w:wordWrap/>
        <w:overflowPunct/>
        <w:topLinePunct w:val="0"/>
        <w:autoSpaceDE/>
        <w:autoSpaceDN/>
        <w:bidi w:val="0"/>
        <w:adjustRightInd w:val="0"/>
        <w:snapToGrid w:val="0"/>
        <w:spacing w:after="0" w:line="460" w:lineRule="atLeast"/>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按照合同约定支付服务费用。</w:t>
      </w:r>
    </w:p>
    <w:p w14:paraId="0CE769B5">
      <w:pPr>
        <w:pStyle w:val="11"/>
        <w:keepNext w:val="0"/>
        <w:keepLines w:val="0"/>
        <w:pageBreakBefore w:val="0"/>
        <w:widowControl w:val="0"/>
        <w:numPr>
          <w:ilvl w:val="0"/>
          <w:numId w:val="71"/>
        </w:numPr>
        <w:tabs>
          <w:tab w:val="left" w:pos="780"/>
          <w:tab w:val="clear" w:pos="210"/>
        </w:tabs>
        <w:kinsoku/>
        <w:wordWrap/>
        <w:overflowPunct/>
        <w:topLinePunct w:val="0"/>
        <w:autoSpaceDE/>
        <w:autoSpaceDN/>
        <w:bidi w:val="0"/>
        <w:adjustRightInd w:val="0"/>
        <w:snapToGrid w:val="0"/>
        <w:spacing w:after="0" w:line="460" w:lineRule="atLeast"/>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配合乙方开展维保及会议服务保障工作，及时通知乙方相关活动安排。</w:t>
      </w:r>
    </w:p>
    <w:p w14:paraId="7728F393">
      <w:pPr>
        <w:pStyle w:val="11"/>
        <w:keepNext w:val="0"/>
        <w:keepLines w:val="0"/>
        <w:pageBreakBefore w:val="0"/>
        <w:widowControl w:val="0"/>
        <w:numPr>
          <w:ilvl w:val="0"/>
          <w:numId w:val="71"/>
        </w:numPr>
        <w:tabs>
          <w:tab w:val="left" w:pos="780"/>
          <w:tab w:val="clear" w:pos="210"/>
        </w:tabs>
        <w:kinsoku/>
        <w:wordWrap/>
        <w:overflowPunct/>
        <w:topLinePunct w:val="0"/>
        <w:autoSpaceDE/>
        <w:autoSpaceDN/>
        <w:bidi w:val="0"/>
        <w:adjustRightInd w:val="0"/>
        <w:snapToGrid w:val="0"/>
        <w:spacing w:after="0" w:line="460" w:lineRule="atLeast"/>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有权对乙方拟派人员进行考核，对不符合要求的人员要求乙方更换。</w:t>
      </w:r>
    </w:p>
    <w:p w14:paraId="2F5A502E">
      <w:pPr>
        <w:pStyle w:val="3"/>
        <w:keepNext w:val="0"/>
        <w:keepLines w:val="0"/>
        <w:pageBreakBefore w:val="0"/>
        <w:widowControl w:val="0"/>
        <w:numPr>
          <w:ilvl w:val="0"/>
          <w:numId w:val="70"/>
        </w:numPr>
        <w:tabs>
          <w:tab w:val="left" w:pos="1282"/>
        </w:tabs>
        <w:kinsoku/>
        <w:wordWrap/>
        <w:overflowPunct/>
        <w:topLinePunct w:val="0"/>
        <w:autoSpaceDE/>
        <w:autoSpaceDN/>
        <w:bidi w:val="0"/>
        <w:adjustRightInd w:val="0"/>
        <w:snapToGrid w:val="0"/>
        <w:spacing w:after="0" w:line="460" w:lineRule="atLeast"/>
        <w:ind w:left="0" w:leftChars="0" w:firstLine="422" w:firstLineChars="200"/>
        <w:textAlignment w:val="auto"/>
        <w:rPr>
          <w:rFonts w:hint="eastAsia" w:ascii="宋体" w:hAnsi="宋体" w:eastAsia="宋体" w:cs="宋体"/>
          <w:b/>
          <w:color w:val="auto"/>
          <w:sz w:val="21"/>
          <w:szCs w:val="21"/>
          <w:highlight w:val="none"/>
        </w:rPr>
      </w:pPr>
      <w:bookmarkStart w:id="41" w:name="heading_36"/>
      <w:r>
        <w:rPr>
          <w:rFonts w:hint="eastAsia" w:ascii="宋体" w:hAnsi="宋体" w:eastAsia="宋体" w:cs="宋体"/>
          <w:color w:val="auto"/>
          <w:sz w:val="21"/>
          <w:szCs w:val="21"/>
          <w:highlight w:val="none"/>
        </w:rPr>
        <w:t>乙方权利和义务</w:t>
      </w:r>
      <w:bookmarkEnd w:id="41"/>
    </w:p>
    <w:p w14:paraId="30C47F92">
      <w:pPr>
        <w:pStyle w:val="11"/>
        <w:keepNext w:val="0"/>
        <w:keepLines w:val="0"/>
        <w:pageBreakBefore w:val="0"/>
        <w:widowControl w:val="0"/>
        <w:numPr>
          <w:ilvl w:val="0"/>
          <w:numId w:val="72"/>
        </w:numPr>
        <w:tabs>
          <w:tab w:val="left" w:pos="780"/>
          <w:tab w:val="clear" w:pos="210"/>
        </w:tabs>
        <w:kinsoku/>
        <w:wordWrap/>
        <w:overflowPunct/>
        <w:topLinePunct w:val="0"/>
        <w:autoSpaceDE/>
        <w:autoSpaceDN/>
        <w:bidi w:val="0"/>
        <w:adjustRightInd w:val="0"/>
        <w:snapToGrid w:val="0"/>
        <w:spacing w:after="0" w:line="460" w:lineRule="atLeast"/>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严格按照招标文件、投标文件及本合同约定的服务范围、质量标准和服务期提供服务。</w:t>
      </w:r>
    </w:p>
    <w:p w14:paraId="7B7A007B">
      <w:pPr>
        <w:pStyle w:val="11"/>
        <w:keepNext w:val="0"/>
        <w:keepLines w:val="0"/>
        <w:pageBreakBefore w:val="0"/>
        <w:widowControl w:val="0"/>
        <w:numPr>
          <w:ilvl w:val="0"/>
          <w:numId w:val="72"/>
        </w:numPr>
        <w:tabs>
          <w:tab w:val="left" w:pos="780"/>
          <w:tab w:val="clear" w:pos="210"/>
        </w:tabs>
        <w:kinsoku/>
        <w:wordWrap/>
        <w:overflowPunct/>
        <w:topLinePunct w:val="0"/>
        <w:autoSpaceDE/>
        <w:autoSpaceDN/>
        <w:bidi w:val="0"/>
        <w:adjustRightInd w:val="0"/>
        <w:snapToGrid w:val="0"/>
        <w:spacing w:after="0" w:line="460" w:lineRule="atLeast"/>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按要求配备项目负责人、驻场人员及各类服务保障人员，确保人员资质符合要求并全程在岗。</w:t>
      </w:r>
    </w:p>
    <w:p w14:paraId="5F548E56">
      <w:pPr>
        <w:pStyle w:val="11"/>
        <w:keepNext w:val="0"/>
        <w:keepLines w:val="0"/>
        <w:pageBreakBefore w:val="0"/>
        <w:widowControl w:val="0"/>
        <w:numPr>
          <w:ilvl w:val="0"/>
          <w:numId w:val="72"/>
        </w:numPr>
        <w:tabs>
          <w:tab w:val="left" w:pos="780"/>
          <w:tab w:val="clear" w:pos="210"/>
        </w:tabs>
        <w:kinsoku/>
        <w:wordWrap/>
        <w:overflowPunct/>
        <w:topLinePunct w:val="0"/>
        <w:autoSpaceDE/>
        <w:autoSpaceDN/>
        <w:bidi w:val="0"/>
        <w:adjustRightInd w:val="0"/>
        <w:snapToGrid w:val="0"/>
        <w:spacing w:after="0" w:line="460" w:lineRule="atLeast"/>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制定详细的维修保养方案、应急处理方案、人员调配方案等，报甲方批准后严格执行。</w:t>
      </w:r>
    </w:p>
    <w:p w14:paraId="01445B89">
      <w:pPr>
        <w:pStyle w:val="11"/>
        <w:keepNext w:val="0"/>
        <w:keepLines w:val="0"/>
        <w:pageBreakBefore w:val="0"/>
        <w:widowControl w:val="0"/>
        <w:numPr>
          <w:ilvl w:val="0"/>
          <w:numId w:val="72"/>
        </w:numPr>
        <w:tabs>
          <w:tab w:val="left" w:pos="780"/>
          <w:tab w:val="clear" w:pos="210"/>
        </w:tabs>
        <w:kinsoku/>
        <w:wordWrap/>
        <w:overflowPunct/>
        <w:topLinePunct w:val="0"/>
        <w:autoSpaceDE/>
        <w:autoSpaceDN/>
        <w:bidi w:val="0"/>
        <w:adjustRightInd w:val="0"/>
        <w:snapToGrid w:val="0"/>
        <w:spacing w:after="0" w:line="460" w:lineRule="atLeast"/>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建立健全服务台账，做好巡检、维护、故障处理等记录，按要求提交各类报告和资料。</w:t>
      </w:r>
    </w:p>
    <w:p w14:paraId="7A495B13">
      <w:pPr>
        <w:pStyle w:val="11"/>
        <w:keepNext w:val="0"/>
        <w:keepLines w:val="0"/>
        <w:pageBreakBefore w:val="0"/>
        <w:widowControl w:val="0"/>
        <w:numPr>
          <w:ilvl w:val="0"/>
          <w:numId w:val="72"/>
        </w:numPr>
        <w:tabs>
          <w:tab w:val="left" w:pos="780"/>
          <w:tab w:val="clear" w:pos="210"/>
        </w:tabs>
        <w:kinsoku/>
        <w:wordWrap/>
        <w:overflowPunct/>
        <w:topLinePunct w:val="0"/>
        <w:autoSpaceDE/>
        <w:autoSpaceDN/>
        <w:bidi w:val="0"/>
        <w:adjustRightInd w:val="0"/>
        <w:snapToGrid w:val="0"/>
        <w:spacing w:after="0" w:line="460" w:lineRule="atLeast"/>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负责服务过程中自身人员的人身安全及财产安全，承担因自身原因造成的安全事故责任。</w:t>
      </w:r>
    </w:p>
    <w:p w14:paraId="09FF35F7">
      <w:pPr>
        <w:pStyle w:val="11"/>
        <w:keepNext w:val="0"/>
        <w:keepLines w:val="0"/>
        <w:pageBreakBefore w:val="0"/>
        <w:widowControl w:val="0"/>
        <w:numPr>
          <w:ilvl w:val="0"/>
          <w:numId w:val="72"/>
        </w:numPr>
        <w:tabs>
          <w:tab w:val="left" w:pos="780"/>
          <w:tab w:val="clear" w:pos="210"/>
        </w:tabs>
        <w:kinsoku/>
        <w:wordWrap/>
        <w:overflowPunct/>
        <w:topLinePunct w:val="0"/>
        <w:autoSpaceDE/>
        <w:autoSpaceDN/>
        <w:bidi w:val="0"/>
        <w:adjustRightInd w:val="0"/>
        <w:snapToGrid w:val="0"/>
        <w:spacing w:after="0" w:line="460" w:lineRule="atLeast"/>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承担服务过程中因自身操作失误造成的设备损坏维修费用及相关损失赔偿。</w:t>
      </w:r>
    </w:p>
    <w:p w14:paraId="58E0F8E4">
      <w:pPr>
        <w:pStyle w:val="11"/>
        <w:keepNext w:val="0"/>
        <w:keepLines w:val="0"/>
        <w:pageBreakBefore w:val="0"/>
        <w:widowControl w:val="0"/>
        <w:numPr>
          <w:ilvl w:val="0"/>
          <w:numId w:val="72"/>
        </w:numPr>
        <w:tabs>
          <w:tab w:val="left" w:pos="780"/>
          <w:tab w:val="clear" w:pos="210"/>
        </w:tabs>
        <w:kinsoku/>
        <w:wordWrap/>
        <w:overflowPunct/>
        <w:topLinePunct w:val="0"/>
        <w:autoSpaceDE/>
        <w:autoSpaceDN/>
        <w:bidi w:val="0"/>
        <w:adjustRightInd w:val="0"/>
        <w:snapToGrid w:val="0"/>
        <w:spacing w:after="0" w:line="460" w:lineRule="atLeast"/>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负责3000元（含）以内的耗材及配件采购更换，超过3000元的耗材及配件需提前报甲方审核同意后采购更换，费用按合同约定执行。</w:t>
      </w:r>
    </w:p>
    <w:p w14:paraId="1D27FF96">
      <w:pPr>
        <w:pStyle w:val="11"/>
        <w:keepNext w:val="0"/>
        <w:keepLines w:val="0"/>
        <w:pageBreakBefore w:val="0"/>
        <w:widowControl w:val="0"/>
        <w:numPr>
          <w:ilvl w:val="0"/>
          <w:numId w:val="72"/>
        </w:numPr>
        <w:tabs>
          <w:tab w:val="left" w:pos="780"/>
          <w:tab w:val="clear" w:pos="210"/>
        </w:tabs>
        <w:kinsoku/>
        <w:wordWrap/>
        <w:overflowPunct/>
        <w:topLinePunct w:val="0"/>
        <w:autoSpaceDE/>
        <w:autoSpaceDN/>
        <w:bidi w:val="0"/>
        <w:adjustRightInd w:val="0"/>
        <w:snapToGrid w:val="0"/>
        <w:spacing w:after="0" w:line="460" w:lineRule="atLeast"/>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接受甲方的考核和监督，对甲方提出的整改意见及时落实。</w:t>
      </w:r>
    </w:p>
    <w:p w14:paraId="01A7BE15">
      <w:pPr>
        <w:pStyle w:val="11"/>
        <w:keepNext w:val="0"/>
        <w:keepLines w:val="0"/>
        <w:pageBreakBefore w:val="0"/>
        <w:widowControl w:val="0"/>
        <w:numPr>
          <w:ilvl w:val="0"/>
          <w:numId w:val="72"/>
        </w:numPr>
        <w:tabs>
          <w:tab w:val="left" w:pos="780"/>
          <w:tab w:val="clear" w:pos="210"/>
        </w:tabs>
        <w:kinsoku/>
        <w:wordWrap/>
        <w:overflowPunct/>
        <w:topLinePunct w:val="0"/>
        <w:autoSpaceDE/>
        <w:autoSpaceDN/>
        <w:bidi w:val="0"/>
        <w:adjustRightInd w:val="0"/>
        <w:snapToGrid w:val="0"/>
        <w:spacing w:after="0" w:line="460" w:lineRule="atLeast"/>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保守甲方商业秘密和技术秘密，不得泄露相关信息。</w:t>
      </w:r>
    </w:p>
    <w:p w14:paraId="0E05F40C">
      <w:pPr>
        <w:pStyle w:val="2"/>
        <w:keepNext w:val="0"/>
        <w:keepLines w:val="0"/>
        <w:pageBreakBefore w:val="0"/>
        <w:widowControl w:val="0"/>
        <w:numPr>
          <w:ilvl w:val="0"/>
          <w:numId w:val="68"/>
        </w:numPr>
        <w:tabs>
          <w:tab w:val="left" w:pos="1081"/>
        </w:tabs>
        <w:kinsoku/>
        <w:wordWrap/>
        <w:overflowPunct/>
        <w:topLinePunct w:val="0"/>
        <w:autoSpaceDE/>
        <w:autoSpaceDN/>
        <w:bidi w:val="0"/>
        <w:adjustRightInd w:val="0"/>
        <w:snapToGrid w:val="0"/>
        <w:spacing w:before="0" w:beforeLines="0" w:after="0" w:line="460" w:lineRule="atLeast"/>
        <w:ind w:left="-2" w:leftChars="0" w:firstLine="422" w:firstLineChars="0"/>
        <w:textAlignment w:val="auto"/>
        <w:rPr>
          <w:rFonts w:hint="eastAsia" w:ascii="宋体" w:hAnsi="宋体" w:eastAsia="宋体" w:cs="宋体"/>
          <w:b/>
          <w:color w:val="auto"/>
          <w:sz w:val="21"/>
          <w:szCs w:val="21"/>
          <w:highlight w:val="none"/>
        </w:rPr>
      </w:pPr>
      <w:bookmarkStart w:id="42" w:name="heading_37"/>
      <w:r>
        <w:rPr>
          <w:rFonts w:hint="eastAsia" w:ascii="宋体" w:hAnsi="宋体" w:eastAsia="宋体" w:cs="宋体"/>
          <w:color w:val="auto"/>
          <w:sz w:val="21"/>
          <w:szCs w:val="21"/>
          <w:highlight w:val="none"/>
        </w:rPr>
        <w:t>服务质量与验收</w:t>
      </w:r>
      <w:bookmarkEnd w:id="42"/>
    </w:p>
    <w:p w14:paraId="1C6F50CB">
      <w:pPr>
        <w:pStyle w:val="11"/>
        <w:keepNext w:val="0"/>
        <w:keepLines w:val="0"/>
        <w:pageBreakBefore w:val="0"/>
        <w:widowControl w:val="0"/>
        <w:numPr>
          <w:ilvl w:val="0"/>
          <w:numId w:val="73"/>
        </w:numPr>
        <w:tabs>
          <w:tab w:val="left" w:pos="780"/>
          <w:tab w:val="clear" w:pos="210"/>
        </w:tabs>
        <w:kinsoku/>
        <w:wordWrap/>
        <w:overflowPunct/>
        <w:topLinePunct w:val="0"/>
        <w:autoSpaceDE/>
        <w:autoSpaceDN/>
        <w:bidi w:val="0"/>
        <w:adjustRightInd w:val="0"/>
        <w:snapToGrid w:val="0"/>
        <w:spacing w:after="0" w:line="460" w:lineRule="atLeast"/>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乙方提供的服务应符合国家相关标准、招标文件要求及本合同约定，确保系统稳定运行。</w:t>
      </w:r>
    </w:p>
    <w:p w14:paraId="6C8B256B">
      <w:pPr>
        <w:pStyle w:val="11"/>
        <w:keepNext w:val="0"/>
        <w:keepLines w:val="0"/>
        <w:pageBreakBefore w:val="0"/>
        <w:widowControl w:val="0"/>
        <w:numPr>
          <w:ilvl w:val="0"/>
          <w:numId w:val="73"/>
        </w:numPr>
        <w:tabs>
          <w:tab w:val="left" w:pos="780"/>
          <w:tab w:val="clear" w:pos="210"/>
        </w:tabs>
        <w:kinsoku/>
        <w:wordWrap/>
        <w:overflowPunct/>
        <w:topLinePunct w:val="0"/>
        <w:autoSpaceDE/>
        <w:autoSpaceDN/>
        <w:bidi w:val="0"/>
        <w:adjustRightInd w:val="0"/>
        <w:snapToGrid w:val="0"/>
        <w:spacing w:after="0" w:line="460" w:lineRule="atLeast"/>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甲方每月对乙方服务质量进行考核，考核标准按招标文件约定执行，考核结果作为费用支付的依据。</w:t>
      </w:r>
    </w:p>
    <w:p w14:paraId="67123DE1">
      <w:pPr>
        <w:pStyle w:val="11"/>
        <w:keepNext w:val="0"/>
        <w:keepLines w:val="0"/>
        <w:pageBreakBefore w:val="0"/>
        <w:widowControl w:val="0"/>
        <w:numPr>
          <w:ilvl w:val="0"/>
          <w:numId w:val="73"/>
        </w:numPr>
        <w:tabs>
          <w:tab w:val="left" w:pos="780"/>
          <w:tab w:val="clear" w:pos="210"/>
        </w:tabs>
        <w:kinsoku/>
        <w:wordWrap/>
        <w:overflowPunct/>
        <w:topLinePunct w:val="0"/>
        <w:autoSpaceDE/>
        <w:autoSpaceDN/>
        <w:bidi w:val="0"/>
        <w:adjustRightInd w:val="0"/>
        <w:snapToGrid w:val="0"/>
        <w:spacing w:after="0" w:line="460" w:lineRule="atLeast"/>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服务期满后，乙方应向甲方提交完整的服务总结报告、维保记录、检测报告及验收清单等资料，甲方组织验收，验收合格后签署验收确认书。</w:t>
      </w:r>
    </w:p>
    <w:p w14:paraId="0850D072">
      <w:pPr>
        <w:pStyle w:val="2"/>
        <w:keepNext w:val="0"/>
        <w:keepLines w:val="0"/>
        <w:pageBreakBefore w:val="0"/>
        <w:widowControl w:val="0"/>
        <w:numPr>
          <w:ilvl w:val="0"/>
          <w:numId w:val="68"/>
        </w:numPr>
        <w:tabs>
          <w:tab w:val="left" w:pos="1081"/>
        </w:tabs>
        <w:kinsoku/>
        <w:wordWrap/>
        <w:overflowPunct/>
        <w:topLinePunct w:val="0"/>
        <w:autoSpaceDE/>
        <w:autoSpaceDN/>
        <w:bidi w:val="0"/>
        <w:adjustRightInd w:val="0"/>
        <w:snapToGrid w:val="0"/>
        <w:spacing w:before="0" w:beforeLines="0" w:after="0" w:line="460" w:lineRule="atLeast"/>
        <w:ind w:left="-2" w:leftChars="0" w:firstLine="422" w:firstLineChars="0"/>
        <w:textAlignment w:val="auto"/>
        <w:rPr>
          <w:rFonts w:hint="eastAsia" w:ascii="宋体" w:hAnsi="宋体" w:eastAsia="宋体" w:cs="宋体"/>
          <w:b/>
          <w:color w:val="auto"/>
          <w:sz w:val="21"/>
          <w:szCs w:val="21"/>
          <w:highlight w:val="none"/>
        </w:rPr>
      </w:pPr>
      <w:bookmarkStart w:id="43" w:name="heading_38"/>
      <w:r>
        <w:rPr>
          <w:rFonts w:hint="eastAsia" w:ascii="宋体" w:hAnsi="宋体" w:eastAsia="宋体" w:cs="宋体"/>
          <w:color w:val="auto"/>
          <w:sz w:val="21"/>
          <w:szCs w:val="21"/>
          <w:highlight w:val="none"/>
        </w:rPr>
        <w:t>合同价款支付</w:t>
      </w:r>
      <w:bookmarkEnd w:id="43"/>
    </w:p>
    <w:p w14:paraId="4BD8F569">
      <w:pPr>
        <w:pStyle w:val="11"/>
        <w:keepNext w:val="0"/>
        <w:keepLines w:val="0"/>
        <w:pageBreakBefore w:val="0"/>
        <w:widowControl w:val="0"/>
        <w:numPr>
          <w:ilvl w:val="0"/>
          <w:numId w:val="74"/>
        </w:numPr>
        <w:tabs>
          <w:tab w:val="left" w:pos="780"/>
          <w:tab w:val="clear" w:pos="210"/>
        </w:tabs>
        <w:kinsoku/>
        <w:wordWrap/>
        <w:overflowPunct/>
        <w:topLinePunct w:val="0"/>
        <w:autoSpaceDE/>
        <w:autoSpaceDN/>
        <w:bidi w:val="0"/>
        <w:adjustRightInd w:val="0"/>
        <w:snapToGrid w:val="0"/>
        <w:spacing w:after="0" w:line="460" w:lineRule="atLeast"/>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服务满</w:t>
      </w:r>
      <w:r>
        <w:rPr>
          <w:rFonts w:hint="eastAsia" w:ascii="宋体" w:hAnsi="宋体" w:cs="宋体"/>
          <w:color w:val="auto"/>
          <w:sz w:val="21"/>
          <w:szCs w:val="21"/>
          <w:highlight w:val="none"/>
          <w:lang w:val="en-US" w:eastAsia="zh-CN"/>
        </w:rPr>
        <w:t>6个月</w:t>
      </w:r>
      <w:r>
        <w:rPr>
          <w:rFonts w:hint="eastAsia" w:ascii="宋体" w:hAnsi="宋体" w:eastAsia="宋体" w:cs="宋体"/>
          <w:color w:val="auto"/>
          <w:sz w:val="21"/>
          <w:szCs w:val="21"/>
          <w:highlight w:val="none"/>
        </w:rPr>
        <w:t>后，乙方提交该半年的服务总结报告、完整的维保记录、考核结果确认单等相关结算资料</w:t>
      </w:r>
      <w:r>
        <w:rPr>
          <w:rFonts w:hint="eastAsia" w:ascii="宋体" w:hAnsi="宋体" w:cs="宋体"/>
          <w:color w:val="auto"/>
          <w:sz w:val="21"/>
          <w:szCs w:val="21"/>
          <w:highlight w:val="none"/>
          <w:lang w:val="en-US" w:eastAsia="zh-CN"/>
        </w:rPr>
        <w:t>并经甲方</w:t>
      </w:r>
      <w:r>
        <w:rPr>
          <w:rFonts w:hint="eastAsia" w:ascii="宋体" w:hAnsi="宋体" w:eastAsia="宋体" w:cs="宋体"/>
          <w:color w:val="auto"/>
          <w:sz w:val="21"/>
          <w:szCs w:val="21"/>
          <w:highlight w:val="none"/>
        </w:rPr>
        <w:t>审核通过后支付该半年的服务费（支付金额</w:t>
      </w:r>
      <w:r>
        <w:rPr>
          <w:rFonts w:hint="eastAsia" w:ascii="宋体" w:hAnsi="宋体" w:cs="宋体"/>
          <w:color w:val="auto"/>
          <w:sz w:val="21"/>
          <w:szCs w:val="21"/>
          <w:highlight w:val="none"/>
          <w:lang w:val="en-US" w:eastAsia="zh-CN"/>
        </w:rPr>
        <w:t>暂按</w:t>
      </w:r>
      <w:r>
        <w:rPr>
          <w:rFonts w:hint="eastAsia" w:ascii="宋体" w:hAnsi="宋体" w:eastAsia="宋体" w:cs="宋体"/>
          <w:color w:val="auto"/>
          <w:sz w:val="21"/>
          <w:szCs w:val="21"/>
          <w:highlight w:val="none"/>
        </w:rPr>
        <w:t>合同总价的</w:t>
      </w:r>
      <w:r>
        <w:rPr>
          <w:rFonts w:hint="eastAsia" w:ascii="宋体" w:hAnsi="宋体" w:cs="宋体"/>
          <w:color w:val="auto"/>
          <w:sz w:val="21"/>
          <w:szCs w:val="21"/>
          <w:highlight w:val="none"/>
          <w:lang w:val="en-US" w:eastAsia="zh-CN"/>
        </w:rPr>
        <w:t>40</w:t>
      </w:r>
      <w:r>
        <w:rPr>
          <w:rFonts w:hint="eastAsia" w:ascii="宋体" w:hAnsi="宋体" w:eastAsia="宋体" w:cs="宋体"/>
          <w:color w:val="auto"/>
          <w:sz w:val="21"/>
          <w:szCs w:val="21"/>
          <w:highlight w:val="none"/>
        </w:rPr>
        <w:t>%）。</w:t>
      </w:r>
      <w:r>
        <w:rPr>
          <w:rFonts w:hint="eastAsia" w:ascii="宋体" w:hAnsi="宋体" w:cs="宋体"/>
          <w:color w:val="auto"/>
          <w:sz w:val="21"/>
          <w:szCs w:val="21"/>
          <w:highlight w:val="none"/>
          <w:lang w:val="en-US" w:eastAsia="zh-CN"/>
        </w:rPr>
        <w:t>余款待服务期结</w:t>
      </w:r>
      <w:r>
        <w:rPr>
          <w:rFonts w:hint="eastAsia" w:ascii="宋体" w:hAnsi="宋体" w:eastAsia="宋体" w:cs="宋体"/>
          <w:color w:val="auto"/>
          <w:sz w:val="21"/>
          <w:szCs w:val="21"/>
          <w:highlight w:val="none"/>
          <w:lang w:val="en-US" w:eastAsia="zh-CN"/>
        </w:rPr>
        <w:t>束并经审计后，甲方根据最终审定价一次性结清</w:t>
      </w:r>
      <w:r>
        <w:rPr>
          <w:rFonts w:hint="eastAsia" w:ascii="宋体" w:hAnsi="宋体" w:cs="宋体"/>
          <w:color w:val="auto"/>
          <w:sz w:val="21"/>
          <w:szCs w:val="21"/>
          <w:highlight w:val="none"/>
          <w:lang w:val="en-US" w:eastAsia="zh-CN"/>
        </w:rPr>
        <w:t>。</w:t>
      </w:r>
    </w:p>
    <w:p w14:paraId="0BCDB40C">
      <w:pPr>
        <w:pStyle w:val="11"/>
        <w:keepNext w:val="0"/>
        <w:keepLines w:val="0"/>
        <w:pageBreakBefore w:val="0"/>
        <w:widowControl w:val="0"/>
        <w:numPr>
          <w:ilvl w:val="0"/>
          <w:numId w:val="74"/>
        </w:numPr>
        <w:tabs>
          <w:tab w:val="left" w:pos="780"/>
          <w:tab w:val="clear" w:pos="210"/>
        </w:tabs>
        <w:kinsoku/>
        <w:wordWrap/>
        <w:overflowPunct/>
        <w:topLinePunct w:val="0"/>
        <w:autoSpaceDE/>
        <w:autoSpaceDN/>
        <w:bidi w:val="0"/>
        <w:adjustRightInd w:val="0"/>
        <w:snapToGrid w:val="0"/>
        <w:spacing w:after="0" w:line="460" w:lineRule="atLeast"/>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若半年内出现连续2个月考核不合格或累计3个月考核不合格情况，甲方有权暂缓支付服务费，直至乙方完成整改并通过验收，或按合同约定终止合同。重大活动保障发生2次及以上事故，甲方直接终止合同，并追究相关责任。</w:t>
      </w:r>
    </w:p>
    <w:p w14:paraId="5C5B919F">
      <w:pPr>
        <w:pStyle w:val="11"/>
        <w:keepNext w:val="0"/>
        <w:keepLines w:val="0"/>
        <w:pageBreakBefore w:val="0"/>
        <w:widowControl w:val="0"/>
        <w:numPr>
          <w:ilvl w:val="0"/>
          <w:numId w:val="0"/>
        </w:numPr>
        <w:tabs>
          <w:tab w:val="left" w:pos="780"/>
        </w:tabs>
        <w:kinsoku/>
        <w:wordWrap/>
        <w:overflowPunct/>
        <w:topLinePunct w:val="0"/>
        <w:autoSpaceDE/>
        <w:autoSpaceDN/>
        <w:bidi w:val="0"/>
        <w:adjustRightInd w:val="0"/>
        <w:snapToGrid w:val="0"/>
        <w:spacing w:after="0" w:line="460" w:lineRule="atLeast"/>
        <w:ind w:leftChars="200"/>
        <w:textAlignment w:val="auto"/>
        <w:rPr>
          <w:rFonts w:hint="eastAsia" w:ascii="宋体" w:hAnsi="宋体" w:eastAsia="宋体" w:cs="宋体"/>
          <w:b/>
          <w:bCs/>
          <w:color w:val="auto"/>
          <w:sz w:val="21"/>
          <w:szCs w:val="21"/>
          <w:highlight w:val="none"/>
        </w:rPr>
      </w:pPr>
      <w:r>
        <w:rPr>
          <w:rFonts w:hint="eastAsia" w:ascii="宋体" w:hAnsi="宋体" w:cs="宋体"/>
          <w:b/>
          <w:bCs/>
          <w:color w:val="auto"/>
          <w:sz w:val="21"/>
          <w:szCs w:val="21"/>
          <w:highlight w:val="none"/>
          <w:lang w:val="en-US" w:eastAsia="zh-CN"/>
        </w:rPr>
        <w:t>五、</w:t>
      </w:r>
      <w:r>
        <w:rPr>
          <w:rFonts w:hint="eastAsia" w:ascii="宋体" w:hAnsi="宋体" w:eastAsia="宋体" w:cs="宋体"/>
          <w:b/>
          <w:bCs/>
          <w:color w:val="auto"/>
          <w:sz w:val="21"/>
          <w:szCs w:val="21"/>
          <w:highlight w:val="none"/>
          <w:lang w:val="en-US" w:eastAsia="zh-CN"/>
        </w:rPr>
        <w:t>结算方式</w:t>
      </w:r>
    </w:p>
    <w:p w14:paraId="60A3E0BD">
      <w:pPr>
        <w:pStyle w:val="11"/>
        <w:keepNext w:val="0"/>
        <w:keepLines w:val="0"/>
        <w:pageBreakBefore w:val="0"/>
        <w:widowControl w:val="0"/>
        <w:numPr>
          <w:ilvl w:val="0"/>
          <w:numId w:val="0"/>
        </w:numPr>
        <w:tabs>
          <w:tab w:val="left" w:pos="780"/>
        </w:tabs>
        <w:kinsoku/>
        <w:wordWrap/>
        <w:overflowPunct/>
        <w:topLinePunct w:val="0"/>
        <w:autoSpaceDE/>
        <w:autoSpaceDN/>
        <w:bidi w:val="0"/>
        <w:adjustRightInd w:val="0"/>
        <w:snapToGrid w:val="0"/>
        <w:spacing w:after="0" w:line="460" w:lineRule="atLeast"/>
        <w:ind w:leftChars="200" w:firstLine="210" w:firstLineChars="1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工程结算总价=∑中标全费用综合单价×实际</w:t>
      </w:r>
      <w:r>
        <w:rPr>
          <w:rFonts w:hint="eastAsia" w:ascii="宋体" w:hAnsi="宋体" w:cs="宋体"/>
          <w:color w:val="auto"/>
          <w:sz w:val="21"/>
          <w:szCs w:val="21"/>
          <w:highlight w:val="none"/>
          <w:lang w:val="en-US" w:eastAsia="zh-CN"/>
        </w:rPr>
        <w:t>服务数</w:t>
      </w:r>
      <w:r>
        <w:rPr>
          <w:rFonts w:hint="eastAsia" w:ascii="宋体" w:hAnsi="宋体" w:eastAsia="宋体" w:cs="宋体"/>
          <w:color w:val="auto"/>
          <w:sz w:val="21"/>
          <w:szCs w:val="21"/>
          <w:highlight w:val="none"/>
        </w:rPr>
        <w:t>量+变更工程价款＋合同约定可调整的价</w:t>
      </w:r>
    </w:p>
    <w:p w14:paraId="599BA8C3">
      <w:pPr>
        <w:pStyle w:val="11"/>
        <w:keepNext w:val="0"/>
        <w:keepLines w:val="0"/>
        <w:pageBreakBefore w:val="0"/>
        <w:widowControl w:val="0"/>
        <w:numPr>
          <w:ilvl w:val="0"/>
          <w:numId w:val="0"/>
        </w:numPr>
        <w:tabs>
          <w:tab w:val="left" w:pos="780"/>
        </w:tabs>
        <w:kinsoku/>
        <w:wordWrap/>
        <w:overflowPunct/>
        <w:topLinePunct w:val="0"/>
        <w:autoSpaceDE/>
        <w:autoSpaceDN/>
        <w:bidi w:val="0"/>
        <w:adjustRightInd w:val="0"/>
        <w:snapToGrid w:val="0"/>
        <w:spacing w:after="0" w:line="460" w:lineRule="atLeas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格；其中除双方另有约定外，中标时的全费用综合单价结算时不予调整，工程量按实结算。</w:t>
      </w:r>
    </w:p>
    <w:p w14:paraId="454C153E">
      <w:pPr>
        <w:pStyle w:val="45"/>
        <w:spacing w:line="360" w:lineRule="auto"/>
        <w:ind w:firstLine="420" w:firstLineChars="200"/>
        <w:rPr>
          <w:rFonts w:hint="eastAsia" w:ascii="宋体" w:hAnsi="宋体" w:eastAsia="宋体" w:cs="宋体"/>
          <w:color w:val="auto"/>
          <w:kern w:val="0"/>
          <w:sz w:val="21"/>
          <w:szCs w:val="21"/>
          <w:highlight w:val="none"/>
        </w:rPr>
      </w:pPr>
      <w:r>
        <w:rPr>
          <w:rFonts w:hint="eastAsia" w:ascii="宋体" w:hAnsi="宋体" w:cs="宋体"/>
          <w:color w:val="auto"/>
          <w:kern w:val="0"/>
          <w:sz w:val="21"/>
          <w:szCs w:val="21"/>
          <w:highlight w:val="none"/>
          <w:lang w:val="en-US" w:eastAsia="zh-CN"/>
        </w:rPr>
        <w:t>5</w:t>
      </w:r>
      <w:r>
        <w:rPr>
          <w:rFonts w:hint="eastAsia" w:ascii="宋体" w:hAnsi="宋体" w:eastAsia="宋体" w:cs="宋体"/>
          <w:color w:val="auto"/>
          <w:kern w:val="0"/>
          <w:sz w:val="21"/>
          <w:szCs w:val="21"/>
          <w:highlight w:val="none"/>
        </w:rPr>
        <w:t>.1变更工程价款的确定：</w:t>
      </w:r>
    </w:p>
    <w:p w14:paraId="55E54DB4">
      <w:pPr>
        <w:pStyle w:val="45"/>
        <w:spacing w:line="360" w:lineRule="auto"/>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（1）报价书中有单价的，执行其投标单价。</w:t>
      </w:r>
    </w:p>
    <w:p w14:paraId="76B9D745">
      <w:pPr>
        <w:pStyle w:val="45"/>
        <w:spacing w:line="360" w:lineRule="auto"/>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（2）报价书中有类似单价的，参照类似单价。</w:t>
      </w:r>
    </w:p>
    <w:p w14:paraId="27F484BE">
      <w:pPr>
        <w:pStyle w:val="45"/>
        <w:spacing w:line="360" w:lineRule="auto"/>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（2）报价书中无单价或类似单价的，根据市场价确定。</w:t>
      </w:r>
    </w:p>
    <w:p w14:paraId="019B87F5">
      <w:pPr>
        <w:pStyle w:val="45"/>
        <w:spacing w:line="360" w:lineRule="auto"/>
        <w:ind w:firstLine="420" w:firstLineChars="200"/>
        <w:rPr>
          <w:rFonts w:hint="eastAsia" w:ascii="宋体" w:hAnsi="宋体" w:eastAsia="宋体" w:cs="宋体"/>
          <w:color w:val="auto"/>
          <w:kern w:val="0"/>
          <w:sz w:val="21"/>
          <w:szCs w:val="21"/>
          <w:highlight w:val="none"/>
        </w:rPr>
      </w:pPr>
      <w:r>
        <w:rPr>
          <w:rFonts w:hint="eastAsia" w:ascii="宋体" w:hAnsi="宋体" w:cs="宋体"/>
          <w:color w:val="auto"/>
          <w:kern w:val="0"/>
          <w:sz w:val="21"/>
          <w:szCs w:val="21"/>
          <w:highlight w:val="none"/>
          <w:lang w:val="en-US" w:eastAsia="zh-CN"/>
        </w:rPr>
        <w:t>5.2</w:t>
      </w:r>
      <w:r>
        <w:rPr>
          <w:rFonts w:hint="eastAsia" w:ascii="宋体" w:hAnsi="宋体" w:eastAsia="宋体" w:cs="宋体"/>
          <w:color w:val="auto"/>
          <w:kern w:val="0"/>
          <w:sz w:val="21"/>
          <w:szCs w:val="21"/>
          <w:highlight w:val="none"/>
        </w:rPr>
        <w:t>为有效控制不平衡报价，结算时需遵守如下约定：</w:t>
      </w:r>
    </w:p>
    <w:p w14:paraId="4EBC9A8C">
      <w:pPr>
        <w:pStyle w:val="45"/>
        <w:spacing w:line="360" w:lineRule="auto"/>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凡实施工作量增加超过招标工作量15%的，其超过部分的结算单价一律按市场价重新会商确定；凡实施工作量减少超过招标工作量15%的，超过部分按照市场价重新核定后扣除；当技术参数改变时，除对变更部分的结算单价按市场价会商确定外，对原投标单价也要按市场价重新核定后扣除。调整公式如下：</w:t>
      </w:r>
    </w:p>
    <w:p w14:paraId="26C4D464">
      <w:pPr>
        <w:pStyle w:val="45"/>
        <w:spacing w:line="360" w:lineRule="auto"/>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（1）数量增加型：中标量×中标价+中标量×15%×中标价+（实际量-中标量×15%-中标量）×重新组价</w:t>
      </w:r>
    </w:p>
    <w:p w14:paraId="4B1DC120">
      <w:pPr>
        <w:pStyle w:val="45"/>
        <w:spacing w:line="360" w:lineRule="auto"/>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（2）数量减少型：中标量×中标价-中标量×15%×中标价-（中标量-中标量×15%-实际量）×重新组价</w:t>
      </w:r>
    </w:p>
    <w:p w14:paraId="0DCA1F74">
      <w:pPr>
        <w:pStyle w:val="45"/>
        <w:spacing w:line="360" w:lineRule="auto"/>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（3）设计变更型：实际量×中标价+实际量×（变更后的-变更前的）重新组价</w:t>
      </w:r>
    </w:p>
    <w:p w14:paraId="1272B412">
      <w:pPr>
        <w:pStyle w:val="45"/>
        <w:spacing w:line="360" w:lineRule="auto"/>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注解：</w:t>
      </w:r>
    </w:p>
    <w:p w14:paraId="5F29675E">
      <w:pPr>
        <w:pStyle w:val="45"/>
        <w:spacing w:line="360" w:lineRule="auto"/>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①本条款不平衡报价是指相对应单项投标报价与招标预算价按照中标下浮率相比上下浮动超过20%的。</w:t>
      </w:r>
    </w:p>
    <w:p w14:paraId="73B0FFC6">
      <w:pPr>
        <w:pStyle w:val="45"/>
        <w:spacing w:line="360" w:lineRule="auto"/>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②本条款重新组价原则是按照招标预算价执行中标下浮率。若招标预算价价格失真或者不存在则由乙方提出新的综合单价，经甲方确认后调整。</w:t>
      </w:r>
    </w:p>
    <w:p w14:paraId="75994D4E">
      <w:pPr>
        <w:pStyle w:val="45"/>
        <w:spacing w:line="360" w:lineRule="auto"/>
        <w:ind w:firstLine="3570" w:firstLineChars="17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预算价- 中标价</w:t>
      </w:r>
    </w:p>
    <w:p w14:paraId="320A2A12">
      <w:pPr>
        <w:pStyle w:val="45"/>
        <w:spacing w:line="360" w:lineRule="auto"/>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下浮率 ＝-----------------------------------------------------×100%</w:t>
      </w:r>
    </w:p>
    <w:p w14:paraId="7490F45A">
      <w:pPr>
        <w:pStyle w:val="45"/>
        <w:spacing w:line="360" w:lineRule="auto"/>
        <w:ind w:firstLine="4200" w:firstLineChars="20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预算价</w:t>
      </w:r>
    </w:p>
    <w:p w14:paraId="2A2D5E04">
      <w:pPr>
        <w:pStyle w:val="45"/>
        <w:spacing w:line="360" w:lineRule="auto"/>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注：上述公式中的预算价是指甲方委托编制的招标预算价（即预算审核价）</w:t>
      </w:r>
    </w:p>
    <w:p w14:paraId="1BB82138">
      <w:pPr>
        <w:keepNext w:val="0"/>
        <w:keepLines w:val="0"/>
        <w:pageBreakBefore w:val="0"/>
        <w:widowControl w:val="0"/>
        <w:kinsoku/>
        <w:wordWrap/>
        <w:overflowPunct/>
        <w:topLinePunct w:val="0"/>
        <w:autoSpaceDE/>
        <w:autoSpaceDN/>
        <w:bidi w:val="0"/>
        <w:adjustRightInd w:val="0"/>
        <w:snapToGrid w:val="0"/>
        <w:spacing w:line="460" w:lineRule="atLeast"/>
        <w:ind w:firstLine="422" w:firstLineChars="200"/>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val="en-US" w:eastAsia="zh-CN"/>
        </w:rPr>
        <w:t>六</w:t>
      </w:r>
      <w:r>
        <w:rPr>
          <w:rFonts w:hint="eastAsia" w:ascii="宋体" w:hAnsi="宋体" w:eastAsia="宋体" w:cs="宋体"/>
          <w:b/>
          <w:bCs/>
          <w:color w:val="auto"/>
          <w:sz w:val="21"/>
          <w:szCs w:val="21"/>
          <w:highlight w:val="none"/>
        </w:rPr>
        <w:t>、违约责任：</w:t>
      </w:r>
    </w:p>
    <w:p w14:paraId="09019C1E">
      <w:pPr>
        <w:keepNext w:val="0"/>
        <w:keepLines w:val="0"/>
        <w:pageBreakBefore w:val="0"/>
        <w:widowControl w:val="0"/>
        <w:kinsoku/>
        <w:wordWrap/>
        <w:overflowPunct/>
        <w:topLinePunct w:val="0"/>
        <w:autoSpaceDE/>
        <w:autoSpaceDN/>
        <w:bidi w:val="0"/>
        <w:adjustRightInd w:val="0"/>
        <w:snapToGrid w:val="0"/>
        <w:spacing w:line="460" w:lineRule="atLeas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1、自觉接受</w:t>
      </w:r>
      <w:r>
        <w:rPr>
          <w:rFonts w:hint="eastAsia" w:ascii="宋体" w:hAnsi="宋体" w:eastAsia="宋体" w:cs="宋体"/>
          <w:color w:val="auto"/>
          <w:sz w:val="21"/>
          <w:szCs w:val="21"/>
          <w:highlight w:val="none"/>
          <w:lang w:val="en-US" w:eastAsia="zh-CN"/>
        </w:rPr>
        <w:t>甲方和东拓公司</w:t>
      </w:r>
      <w:r>
        <w:rPr>
          <w:rFonts w:hint="eastAsia" w:ascii="宋体" w:hAnsi="宋体" w:eastAsia="宋体" w:cs="宋体"/>
          <w:color w:val="auto"/>
          <w:sz w:val="21"/>
          <w:szCs w:val="21"/>
          <w:highlight w:val="none"/>
        </w:rPr>
        <w:t>对本工程（项目）监督和飞行再监督管理。甲方发现或者认定乙方存在不符合招标文件、维修保养合同、国家工程技术规范和其他约定等问题，有权向乙方提出限期整改要求，乙方应当按期保质予以整改。同时，甲方对乙方存在问题，有权要求乙方进行赔偿，有权对乙方进行经济扣（罚）款，扣（罚）款额度由甲方根据乙方违反招标文件、维修保养合同、国家工程技术规范，以及其他约定的情况和程度量定。乙方被扣（罚）款项，可在甲方应支付乙方款项中扣除。甲方对乙方不能遵守招标文件、维修保养合同和其他约定，屡纠不改或者屡查屡犯，甲方有权与其单方面废标或解除合同。由于乙方责任，导致甲方废标或解除合同的，乙方已完工程量不予结算。</w:t>
      </w:r>
    </w:p>
    <w:p w14:paraId="042D1ECA">
      <w:pPr>
        <w:keepNext w:val="0"/>
        <w:keepLines w:val="0"/>
        <w:pageBreakBefore w:val="0"/>
        <w:widowControl w:val="0"/>
        <w:kinsoku/>
        <w:wordWrap/>
        <w:overflowPunct/>
        <w:topLinePunct w:val="0"/>
        <w:autoSpaceDE/>
        <w:autoSpaceDN/>
        <w:bidi w:val="0"/>
        <w:adjustRightInd w:val="0"/>
        <w:snapToGrid w:val="0"/>
        <w:spacing w:line="460" w:lineRule="atLeas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2、乙方未能依照技术标准和执业准则，导致维保质量问题的，承担相应的法律责任。</w:t>
      </w:r>
    </w:p>
    <w:p w14:paraId="46FF6733">
      <w:pPr>
        <w:keepNext w:val="0"/>
        <w:keepLines w:val="0"/>
        <w:pageBreakBefore w:val="0"/>
        <w:widowControl w:val="0"/>
        <w:kinsoku/>
        <w:wordWrap/>
        <w:overflowPunct/>
        <w:topLinePunct w:val="0"/>
        <w:autoSpaceDE/>
        <w:autoSpaceDN/>
        <w:bidi w:val="0"/>
        <w:adjustRightInd w:val="0"/>
        <w:snapToGrid w:val="0"/>
        <w:spacing w:line="460" w:lineRule="atLeas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3、中标后，乙方需同建设单位共同至现场，对前维保单位移交的设施设备进行确认。乙方签字确认后，后续设施设备相关问题由乙方负责。</w:t>
      </w:r>
    </w:p>
    <w:p w14:paraId="03C0FB85">
      <w:pPr>
        <w:keepNext w:val="0"/>
        <w:keepLines w:val="0"/>
        <w:pageBreakBefore w:val="0"/>
        <w:widowControl w:val="0"/>
        <w:kinsoku/>
        <w:wordWrap/>
        <w:overflowPunct/>
        <w:topLinePunct w:val="0"/>
        <w:autoSpaceDE/>
        <w:autoSpaceDN/>
        <w:bidi w:val="0"/>
        <w:adjustRightInd w:val="0"/>
        <w:snapToGrid w:val="0"/>
        <w:spacing w:line="460" w:lineRule="atLeas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竣工结算（一审）：乙方应在工程竣工验收前，完成工程竣工结算编制工作。在工程竣工验收合格后28日内，须将齐全、真实、有效、完整的工程竣工结算（一审）资料，报送甲方，乙方与甲方双方交接竣工结算资料以签字确认为准。否则，延迟的工程结算（一审）时间等责任由乙方自行承担。进入工程结算（一审）程序后，乙方不得再增补资料。无效、不全的资料均作为核减处理，责任由乙方自负。本工程一审完成后，乙方须配合甲方将齐全、真实、有效、完整的工程竣工结算资料（含一审审计报告、资料等）报送至上级复审机关</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如需）</w:t>
      </w:r>
      <w:r>
        <w:rPr>
          <w:rFonts w:hint="eastAsia" w:ascii="宋体" w:hAnsi="宋体" w:eastAsia="宋体" w:cs="宋体"/>
          <w:color w:val="auto"/>
          <w:sz w:val="21"/>
          <w:szCs w:val="21"/>
          <w:highlight w:val="none"/>
        </w:rPr>
        <w:t>，并积极配合上级复审机关做好结算复审工作。乙方报送的竣工结算准确率须控制在5%范围内，若核减率超出5%的，超出部分的审计费用由乙方支付。本工程竣工验收及竣工结算审计均须按盐城经济开发区相关规定执行。</w:t>
      </w:r>
    </w:p>
    <w:p w14:paraId="35AD71F7">
      <w:pPr>
        <w:keepNext w:val="0"/>
        <w:keepLines w:val="0"/>
        <w:pageBreakBefore w:val="0"/>
        <w:widowControl w:val="0"/>
        <w:kinsoku/>
        <w:wordWrap/>
        <w:overflowPunct/>
        <w:topLinePunct w:val="0"/>
        <w:autoSpaceDE/>
        <w:autoSpaceDN/>
        <w:bidi w:val="0"/>
        <w:adjustRightInd w:val="0"/>
        <w:snapToGrid w:val="0"/>
        <w:spacing w:line="460" w:lineRule="atLeas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、其它：</w:t>
      </w:r>
    </w:p>
    <w:p w14:paraId="533D485F">
      <w:pPr>
        <w:keepNext w:val="0"/>
        <w:keepLines w:val="0"/>
        <w:pageBreakBefore w:val="0"/>
        <w:widowControl w:val="0"/>
        <w:kinsoku/>
        <w:wordWrap/>
        <w:overflowPunct/>
        <w:topLinePunct w:val="0"/>
        <w:autoSpaceDE/>
        <w:autoSpaceDN/>
        <w:bidi w:val="0"/>
        <w:adjustRightInd w:val="0"/>
        <w:snapToGrid w:val="0"/>
        <w:spacing w:line="460" w:lineRule="atLeas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（1）乙方不能按本合同约定的内容提供服务，经甲方通知仍不整改的，甲方有权通知乙方单方面终止合同，剩余维保费不再支付；在合同终止前，未进行维修保养期间发生的事故相关责任由乙方承担。</w:t>
      </w:r>
    </w:p>
    <w:p w14:paraId="420366C2">
      <w:pPr>
        <w:keepNext w:val="0"/>
        <w:keepLines w:val="0"/>
        <w:pageBreakBefore w:val="0"/>
        <w:widowControl w:val="0"/>
        <w:kinsoku/>
        <w:wordWrap/>
        <w:overflowPunct/>
        <w:topLinePunct w:val="0"/>
        <w:autoSpaceDE/>
        <w:autoSpaceDN/>
        <w:bidi w:val="0"/>
        <w:adjustRightInd w:val="0"/>
        <w:snapToGrid w:val="0"/>
        <w:spacing w:line="460" w:lineRule="atLeas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（2）乙方未能按时为甲方提供紧急修理服务，致使甲方或第三方遭受人身或经济损失的</w:t>
      </w:r>
      <w:bookmarkStart w:id="44" w:name="OLE_LINK70"/>
      <w:r>
        <w:rPr>
          <w:rFonts w:hint="eastAsia" w:ascii="宋体" w:hAnsi="宋体" w:eastAsia="宋体" w:cs="宋体"/>
          <w:color w:val="auto"/>
          <w:sz w:val="21"/>
          <w:szCs w:val="21"/>
          <w:highlight w:val="none"/>
        </w:rPr>
        <w:t>，由乙方承担因此发生的赔偿责任。</w:t>
      </w:r>
      <w:bookmarkEnd w:id="44"/>
      <w:r>
        <w:rPr>
          <w:rFonts w:hint="eastAsia" w:ascii="宋体" w:hAnsi="宋体" w:eastAsia="宋体" w:cs="宋体"/>
          <w:color w:val="auto"/>
          <w:sz w:val="21"/>
          <w:szCs w:val="21"/>
          <w:highlight w:val="none"/>
        </w:rPr>
        <w:t> </w:t>
      </w:r>
    </w:p>
    <w:p w14:paraId="071F12B8">
      <w:pPr>
        <w:keepNext w:val="0"/>
        <w:keepLines w:val="0"/>
        <w:pageBreakBefore w:val="0"/>
        <w:widowControl w:val="0"/>
        <w:kinsoku/>
        <w:wordWrap/>
        <w:overflowPunct/>
        <w:topLinePunct w:val="0"/>
        <w:autoSpaceDE/>
        <w:autoSpaceDN/>
        <w:bidi w:val="0"/>
        <w:adjustRightInd w:val="0"/>
        <w:snapToGrid w:val="0"/>
        <w:spacing w:line="460" w:lineRule="atLeas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（3）乙方提供服务时，未能发现重大的隐患，导致发生事故的，甲方有权解除合同，尚未支付的维保费，不再支付，由此造成的一切损失均由乙方承担。 </w:t>
      </w:r>
    </w:p>
    <w:p w14:paraId="550A8421">
      <w:pPr>
        <w:pStyle w:val="2"/>
        <w:keepNext w:val="0"/>
        <w:keepLines w:val="0"/>
        <w:pageBreakBefore w:val="0"/>
        <w:widowControl w:val="0"/>
        <w:numPr>
          <w:ilvl w:val="0"/>
          <w:numId w:val="0"/>
        </w:numPr>
        <w:tabs>
          <w:tab w:val="left" w:pos="1081"/>
        </w:tabs>
        <w:kinsoku/>
        <w:wordWrap/>
        <w:overflowPunct/>
        <w:topLinePunct w:val="0"/>
        <w:autoSpaceDE/>
        <w:autoSpaceDN/>
        <w:bidi w:val="0"/>
        <w:adjustRightInd w:val="0"/>
        <w:snapToGrid w:val="0"/>
        <w:spacing w:before="0" w:beforeLines="0" w:after="0" w:line="460" w:lineRule="atLeast"/>
        <w:ind w:left="420" w:leftChars="0"/>
        <w:textAlignment w:val="auto"/>
        <w:rPr>
          <w:rFonts w:hint="eastAsia" w:ascii="宋体" w:hAnsi="宋体" w:eastAsia="宋体" w:cs="宋体"/>
          <w:b/>
          <w:color w:val="auto"/>
          <w:sz w:val="21"/>
          <w:szCs w:val="21"/>
          <w:highlight w:val="none"/>
        </w:rPr>
      </w:pPr>
      <w:bookmarkStart w:id="45" w:name="heading_39"/>
      <w:r>
        <w:rPr>
          <w:rFonts w:hint="eastAsia" w:cs="宋体"/>
          <w:color w:val="auto"/>
          <w:sz w:val="21"/>
          <w:szCs w:val="21"/>
          <w:highlight w:val="none"/>
          <w:lang w:val="en-US" w:eastAsia="zh-CN"/>
        </w:rPr>
        <w:t>七、</w:t>
      </w:r>
      <w:r>
        <w:rPr>
          <w:rFonts w:hint="eastAsia" w:ascii="宋体" w:hAnsi="宋体" w:eastAsia="宋体" w:cs="宋体"/>
          <w:color w:val="auto"/>
          <w:sz w:val="21"/>
          <w:szCs w:val="21"/>
          <w:highlight w:val="none"/>
        </w:rPr>
        <w:t>履约保证金</w:t>
      </w:r>
      <w:bookmarkEnd w:id="45"/>
    </w:p>
    <w:p w14:paraId="0CE45BF8">
      <w:pPr>
        <w:keepNext w:val="0"/>
        <w:keepLines w:val="0"/>
        <w:pageBreakBefore w:val="0"/>
        <w:widowControl w:val="0"/>
        <w:tabs>
          <w:tab w:val="left" w:pos="5580"/>
        </w:tabs>
        <w:kinsoku/>
        <w:wordWrap/>
        <w:overflowPunct/>
        <w:topLinePunct w:val="0"/>
        <w:autoSpaceDE/>
        <w:autoSpaceDN/>
        <w:bidi w:val="0"/>
        <w:adjustRightInd w:val="0"/>
        <w:snapToGrid w:val="0"/>
        <w:spacing w:afterAutospacing="0" w:line="460" w:lineRule="atLeast"/>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履约保证金：本项目履约保证金的金额为中标价的10%，乙方在收到中标通知书后，须在 20日 内向甲方按招标文件约定方式足额提交履约保证金，否则甲方可以取消其中标资格。</w:t>
      </w:r>
    </w:p>
    <w:p w14:paraId="1F5C9CA8">
      <w:pPr>
        <w:keepNext w:val="0"/>
        <w:keepLines w:val="0"/>
        <w:pageBreakBefore w:val="0"/>
        <w:widowControl w:val="0"/>
        <w:tabs>
          <w:tab w:val="left" w:pos="5580"/>
        </w:tabs>
        <w:kinsoku/>
        <w:wordWrap/>
        <w:overflowPunct/>
        <w:topLinePunct w:val="0"/>
        <w:autoSpaceDE/>
        <w:autoSpaceDN/>
        <w:bidi w:val="0"/>
        <w:adjustRightInd w:val="0"/>
        <w:snapToGrid w:val="0"/>
        <w:spacing w:afterAutospacing="0" w:line="460" w:lineRule="atLeast"/>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履约保证金的形式：</w:t>
      </w:r>
    </w:p>
    <w:p w14:paraId="7C0743E5">
      <w:pPr>
        <w:keepNext w:val="0"/>
        <w:keepLines w:val="0"/>
        <w:pageBreakBefore w:val="0"/>
        <w:widowControl w:val="0"/>
        <w:kinsoku/>
        <w:wordWrap/>
        <w:overflowPunct/>
        <w:topLinePunct w:val="0"/>
        <w:autoSpaceDE/>
        <w:autoSpaceDN/>
        <w:bidi w:val="0"/>
        <w:adjustRightInd w:val="0"/>
        <w:snapToGrid w:val="0"/>
        <w:spacing w:afterAutospacing="0" w:line="460" w:lineRule="atLeast"/>
        <w:ind w:left="0" w:leftChars="0" w:firstLine="422" w:firstLineChars="200"/>
        <w:textAlignment w:val="auto"/>
        <w:rPr>
          <w:rFonts w:hint="eastAsia" w:ascii="宋体" w:hAnsi="宋体" w:eastAsia="宋体" w:cs="宋体"/>
          <w:b/>
          <w:bCs/>
          <w:color w:val="auto"/>
          <w:sz w:val="21"/>
          <w:szCs w:val="21"/>
          <w:highlight w:val="none"/>
          <w:u w:val="single"/>
        </w:rPr>
      </w:pPr>
      <w:r>
        <w:rPr>
          <w:rFonts w:hint="eastAsia" w:ascii="宋体" w:hAnsi="宋体" w:eastAsia="宋体" w:cs="宋体"/>
          <w:b/>
          <w:bCs/>
          <w:color w:val="auto"/>
          <w:sz w:val="21"/>
          <w:szCs w:val="21"/>
          <w:highlight w:val="none"/>
          <w:u w:val="single"/>
        </w:rPr>
        <w:t>（1） 甲方接受乙方从基本账户缴纳的现金或银行保函中任何一种形式的履约保证金。具体形式由乙方自主选择。</w:t>
      </w:r>
    </w:p>
    <w:p w14:paraId="4C584405">
      <w:pPr>
        <w:keepNext w:val="0"/>
        <w:keepLines w:val="0"/>
        <w:pageBreakBefore w:val="0"/>
        <w:widowControl w:val="0"/>
        <w:kinsoku/>
        <w:wordWrap/>
        <w:overflowPunct/>
        <w:topLinePunct w:val="0"/>
        <w:autoSpaceDE/>
        <w:autoSpaceDN/>
        <w:bidi w:val="0"/>
        <w:adjustRightInd w:val="0"/>
        <w:snapToGrid w:val="0"/>
        <w:spacing w:afterAutospacing="0" w:line="460" w:lineRule="atLeast"/>
        <w:ind w:left="0" w:leftChars="0" w:firstLine="422" w:firstLineChars="200"/>
        <w:textAlignment w:val="auto"/>
        <w:rPr>
          <w:rFonts w:hint="eastAsia" w:ascii="宋体" w:hAnsi="宋体" w:eastAsia="宋体" w:cs="宋体"/>
          <w:b/>
          <w:bCs/>
          <w:color w:val="auto"/>
          <w:sz w:val="21"/>
          <w:szCs w:val="21"/>
          <w:highlight w:val="none"/>
          <w:u w:val="single"/>
        </w:rPr>
      </w:pPr>
      <w:r>
        <w:rPr>
          <w:rFonts w:hint="eastAsia" w:ascii="宋体" w:hAnsi="宋体" w:eastAsia="宋体" w:cs="宋体"/>
          <w:b/>
          <w:bCs/>
          <w:color w:val="auto"/>
          <w:sz w:val="21"/>
          <w:szCs w:val="21"/>
          <w:highlight w:val="none"/>
          <w:u w:val="single"/>
        </w:rPr>
        <w:t>（2）本项目接受乙方提供的从基本账户缴纳的担保机构保函、保险机构保单等非现金交易担保方式。</w:t>
      </w:r>
    </w:p>
    <w:p w14:paraId="46B64980">
      <w:pPr>
        <w:keepNext w:val="0"/>
        <w:keepLines w:val="0"/>
        <w:pageBreakBefore w:val="0"/>
        <w:widowControl w:val="0"/>
        <w:kinsoku/>
        <w:wordWrap/>
        <w:overflowPunct/>
        <w:topLinePunct w:val="0"/>
        <w:autoSpaceDE/>
        <w:autoSpaceDN/>
        <w:bidi w:val="0"/>
        <w:adjustRightInd w:val="0"/>
        <w:snapToGrid w:val="0"/>
        <w:spacing w:afterAutospacing="0" w:line="460" w:lineRule="atLeast"/>
        <w:ind w:left="0" w:leftChars="0" w:firstLine="420" w:firstLineChars="200"/>
        <w:textAlignment w:val="auto"/>
        <w:rPr>
          <w:rFonts w:hint="eastAsia" w:ascii="宋体" w:hAnsi="宋体" w:eastAsia="宋体" w:cs="宋体"/>
          <w:b w:val="0"/>
          <w:color w:val="auto"/>
          <w:sz w:val="21"/>
          <w:szCs w:val="21"/>
          <w:highlight w:val="none"/>
        </w:rPr>
      </w:pPr>
      <w:r>
        <w:rPr>
          <w:rFonts w:hint="eastAsia" w:ascii="宋体" w:hAnsi="宋体" w:eastAsia="宋体" w:cs="宋体"/>
          <w:color w:val="auto"/>
          <w:sz w:val="21"/>
          <w:szCs w:val="21"/>
          <w:highlight w:val="none"/>
        </w:rPr>
        <w:t>注：甲方对乙方不能遵守招标文件约定，不能按时办理中标手续和缴纳履约保证金等费用，影响或者推迟签订合同的，甲方有权在中标通知书发出后第21日起宣布该乙方废标，有权没收其投标保证金，并按照国家相关法律、法规和规章的规定，建议行政主管部门予以处罚。</w:t>
      </w:r>
    </w:p>
    <w:p w14:paraId="7C1B7D85">
      <w:pPr>
        <w:keepNext w:val="0"/>
        <w:keepLines w:val="0"/>
        <w:pageBreakBefore w:val="0"/>
        <w:widowControl w:val="0"/>
        <w:kinsoku/>
        <w:wordWrap/>
        <w:overflowPunct/>
        <w:topLinePunct w:val="0"/>
        <w:autoSpaceDE/>
        <w:autoSpaceDN/>
        <w:bidi w:val="0"/>
        <w:adjustRightInd w:val="0"/>
        <w:snapToGrid w:val="0"/>
        <w:spacing w:afterAutospacing="0" w:line="460" w:lineRule="atLeast"/>
        <w:ind w:left="0" w:leftChars="0" w:firstLine="420" w:firstLineChars="200"/>
        <w:textAlignment w:val="auto"/>
        <w:rPr>
          <w:rFonts w:hint="eastAsia" w:ascii="宋体" w:hAnsi="宋体" w:eastAsia="宋体" w:cs="宋体"/>
          <w:b w:val="0"/>
          <w:color w:val="auto"/>
          <w:sz w:val="21"/>
          <w:szCs w:val="21"/>
          <w:highlight w:val="none"/>
        </w:rPr>
      </w:pPr>
      <w:r>
        <w:rPr>
          <w:rFonts w:hint="eastAsia" w:ascii="宋体" w:hAnsi="宋体" w:eastAsia="宋体" w:cs="宋体"/>
          <w:color w:val="auto"/>
          <w:sz w:val="21"/>
          <w:szCs w:val="21"/>
          <w:highlight w:val="none"/>
        </w:rPr>
        <w:t>甲方履约保证金专用帐户（收款单位：</w:t>
      </w:r>
      <w:r>
        <w:rPr>
          <w:rFonts w:hint="eastAsia" w:ascii="宋体" w:hAnsi="宋体" w:eastAsia="宋体" w:cs="宋体"/>
          <w:color w:val="auto"/>
          <w:sz w:val="21"/>
          <w:szCs w:val="21"/>
          <w:highlight w:val="none"/>
          <w:lang w:eastAsia="zh-CN"/>
        </w:rPr>
        <w:t>盐城东方投资开发集团有限公司</w:t>
      </w:r>
      <w:r>
        <w:rPr>
          <w:rFonts w:hint="eastAsia" w:ascii="宋体" w:hAnsi="宋体" w:eastAsia="宋体" w:cs="宋体"/>
          <w:color w:val="auto"/>
          <w:sz w:val="21"/>
          <w:szCs w:val="21"/>
          <w:highlight w:val="none"/>
        </w:rPr>
        <w:t>；开户银行：建设银行盐城开发区支行；账号：32001735336050837146）。</w:t>
      </w:r>
    </w:p>
    <w:p w14:paraId="63B72E36">
      <w:pPr>
        <w:pStyle w:val="2"/>
        <w:keepNext w:val="0"/>
        <w:keepLines w:val="0"/>
        <w:pageBreakBefore w:val="0"/>
        <w:widowControl w:val="0"/>
        <w:numPr>
          <w:ilvl w:val="0"/>
          <w:numId w:val="0"/>
        </w:numPr>
        <w:tabs>
          <w:tab w:val="left" w:pos="1081"/>
        </w:tabs>
        <w:kinsoku/>
        <w:wordWrap/>
        <w:overflowPunct/>
        <w:topLinePunct w:val="0"/>
        <w:autoSpaceDE/>
        <w:autoSpaceDN/>
        <w:bidi w:val="0"/>
        <w:adjustRightInd w:val="0"/>
        <w:snapToGrid w:val="0"/>
        <w:spacing w:before="0" w:beforeLines="0" w:after="0" w:line="460" w:lineRule="atLeast"/>
        <w:ind w:left="420" w:leftChars="0"/>
        <w:textAlignment w:val="auto"/>
        <w:rPr>
          <w:rFonts w:hint="eastAsia" w:ascii="宋体" w:hAnsi="宋体" w:eastAsia="宋体" w:cs="宋体"/>
          <w:b/>
          <w:color w:val="auto"/>
          <w:sz w:val="21"/>
          <w:szCs w:val="21"/>
          <w:highlight w:val="none"/>
        </w:rPr>
      </w:pPr>
      <w:bookmarkStart w:id="46" w:name="heading_40"/>
      <w:r>
        <w:rPr>
          <w:rFonts w:hint="eastAsia" w:cs="宋体"/>
          <w:color w:val="auto"/>
          <w:sz w:val="21"/>
          <w:szCs w:val="21"/>
          <w:highlight w:val="none"/>
          <w:lang w:val="en-US" w:eastAsia="zh-CN"/>
        </w:rPr>
        <w:t>八、</w:t>
      </w:r>
      <w:r>
        <w:rPr>
          <w:rFonts w:hint="eastAsia" w:ascii="宋体" w:hAnsi="宋体" w:eastAsia="宋体" w:cs="宋体"/>
          <w:color w:val="auto"/>
          <w:sz w:val="21"/>
          <w:szCs w:val="21"/>
          <w:highlight w:val="none"/>
        </w:rPr>
        <w:t>违约责任</w:t>
      </w:r>
      <w:bookmarkEnd w:id="46"/>
    </w:p>
    <w:p w14:paraId="5D084FBF">
      <w:pPr>
        <w:pStyle w:val="11"/>
        <w:keepNext w:val="0"/>
        <w:keepLines w:val="0"/>
        <w:pageBreakBefore w:val="0"/>
        <w:widowControl w:val="0"/>
        <w:numPr>
          <w:ilvl w:val="0"/>
          <w:numId w:val="75"/>
        </w:numPr>
        <w:tabs>
          <w:tab w:val="left" w:pos="780"/>
          <w:tab w:val="clear" w:pos="210"/>
        </w:tabs>
        <w:kinsoku/>
        <w:wordWrap/>
        <w:overflowPunct/>
        <w:topLinePunct w:val="0"/>
        <w:autoSpaceDE/>
        <w:autoSpaceDN/>
        <w:bidi w:val="0"/>
        <w:adjustRightInd w:val="0"/>
        <w:snapToGrid w:val="0"/>
        <w:spacing w:after="0" w:line="460" w:lineRule="atLeast"/>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甲方未按合同约定支付服务费用的，每逾期一日，按应付未付金额的万分之三向乙方支付违约金。</w:t>
      </w:r>
    </w:p>
    <w:p w14:paraId="33CFA9E4">
      <w:pPr>
        <w:pStyle w:val="11"/>
        <w:keepNext w:val="0"/>
        <w:keepLines w:val="0"/>
        <w:pageBreakBefore w:val="0"/>
        <w:widowControl w:val="0"/>
        <w:numPr>
          <w:ilvl w:val="0"/>
          <w:numId w:val="75"/>
        </w:numPr>
        <w:tabs>
          <w:tab w:val="left" w:pos="780"/>
          <w:tab w:val="clear" w:pos="210"/>
        </w:tabs>
        <w:kinsoku/>
        <w:wordWrap/>
        <w:overflowPunct/>
        <w:topLinePunct w:val="0"/>
        <w:autoSpaceDE/>
        <w:autoSpaceDN/>
        <w:bidi w:val="0"/>
        <w:adjustRightInd w:val="0"/>
        <w:snapToGrid w:val="0"/>
        <w:spacing w:after="0" w:line="460" w:lineRule="atLeast"/>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乙方服务质量不符合合同约定的，甲方有权要求乙方限期整改，整改费用由乙方承担；若整改后仍不合格，甲方有权扣除相应服务费用，情节严重的可终止合同，乙方承担由此造成的损失。</w:t>
      </w:r>
    </w:p>
    <w:p w14:paraId="6E487A3E">
      <w:pPr>
        <w:pStyle w:val="11"/>
        <w:keepNext w:val="0"/>
        <w:keepLines w:val="0"/>
        <w:pageBreakBefore w:val="0"/>
        <w:widowControl w:val="0"/>
        <w:numPr>
          <w:ilvl w:val="0"/>
          <w:numId w:val="75"/>
        </w:numPr>
        <w:tabs>
          <w:tab w:val="left" w:pos="780"/>
          <w:tab w:val="clear" w:pos="210"/>
        </w:tabs>
        <w:kinsoku/>
        <w:wordWrap/>
        <w:overflowPunct/>
        <w:topLinePunct w:val="0"/>
        <w:autoSpaceDE/>
        <w:autoSpaceDN/>
        <w:bidi w:val="0"/>
        <w:adjustRightInd w:val="0"/>
        <w:snapToGrid w:val="0"/>
        <w:spacing w:after="0" w:line="460" w:lineRule="atLeast"/>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乙方未按要求配备人员或人员资质不符合要求的，甲方有权要求乙方更换，乙方应在规定时间内完成更换，否则每次扣除当月服务费的5%-10%；项目负责人擅自更换的，额外扣除当月服务费的10%。</w:t>
      </w:r>
    </w:p>
    <w:p w14:paraId="1D03F892">
      <w:pPr>
        <w:pStyle w:val="11"/>
        <w:keepNext w:val="0"/>
        <w:keepLines w:val="0"/>
        <w:pageBreakBefore w:val="0"/>
        <w:widowControl w:val="0"/>
        <w:numPr>
          <w:ilvl w:val="0"/>
          <w:numId w:val="75"/>
        </w:numPr>
        <w:tabs>
          <w:tab w:val="left" w:pos="780"/>
          <w:tab w:val="clear" w:pos="210"/>
        </w:tabs>
        <w:kinsoku/>
        <w:wordWrap/>
        <w:overflowPunct/>
        <w:topLinePunct w:val="0"/>
        <w:autoSpaceDE/>
        <w:autoSpaceDN/>
        <w:bidi w:val="0"/>
        <w:adjustRightInd w:val="0"/>
        <w:snapToGrid w:val="0"/>
        <w:spacing w:after="0" w:line="460" w:lineRule="atLeast"/>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乙方故障处理超时或应急响应不及时的，按合同约定承担违约责任，造成甲方损失的，承担相应赔偿责任。</w:t>
      </w:r>
    </w:p>
    <w:p w14:paraId="1CB56E24">
      <w:pPr>
        <w:pStyle w:val="11"/>
        <w:keepNext w:val="0"/>
        <w:keepLines w:val="0"/>
        <w:pageBreakBefore w:val="0"/>
        <w:widowControl w:val="0"/>
        <w:numPr>
          <w:ilvl w:val="0"/>
          <w:numId w:val="75"/>
        </w:numPr>
        <w:tabs>
          <w:tab w:val="left" w:pos="780"/>
          <w:tab w:val="clear" w:pos="210"/>
        </w:tabs>
        <w:kinsoku/>
        <w:wordWrap/>
        <w:overflowPunct/>
        <w:topLinePunct w:val="0"/>
        <w:autoSpaceDE/>
        <w:autoSpaceDN/>
        <w:bidi w:val="0"/>
        <w:adjustRightInd w:val="0"/>
        <w:snapToGrid w:val="0"/>
        <w:spacing w:after="0" w:line="460" w:lineRule="atLeast"/>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乙方擅自转包或分包本项目的，甲方有权终止合同，没收履约保证金，乙方承担由此造成的损失。</w:t>
      </w:r>
    </w:p>
    <w:p w14:paraId="45340E79">
      <w:pPr>
        <w:pStyle w:val="11"/>
        <w:keepNext w:val="0"/>
        <w:keepLines w:val="0"/>
        <w:pageBreakBefore w:val="0"/>
        <w:widowControl w:val="0"/>
        <w:numPr>
          <w:ilvl w:val="0"/>
          <w:numId w:val="75"/>
        </w:numPr>
        <w:tabs>
          <w:tab w:val="left" w:pos="780"/>
          <w:tab w:val="clear" w:pos="210"/>
        </w:tabs>
        <w:kinsoku/>
        <w:wordWrap/>
        <w:overflowPunct/>
        <w:topLinePunct w:val="0"/>
        <w:autoSpaceDE/>
        <w:autoSpaceDN/>
        <w:bidi w:val="0"/>
        <w:adjustRightInd w:val="0"/>
        <w:snapToGrid w:val="0"/>
        <w:spacing w:after="0" w:line="460" w:lineRule="atLeast"/>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乙方违反保密义务的，向甲方支付合同总价10%的违约金，造成甲方损失的，承担相应赔偿责任。</w:t>
      </w:r>
    </w:p>
    <w:p w14:paraId="6C59BE0F">
      <w:pPr>
        <w:pStyle w:val="11"/>
        <w:keepNext w:val="0"/>
        <w:keepLines w:val="0"/>
        <w:pageBreakBefore w:val="0"/>
        <w:widowControl w:val="0"/>
        <w:numPr>
          <w:ilvl w:val="0"/>
          <w:numId w:val="75"/>
        </w:numPr>
        <w:tabs>
          <w:tab w:val="left" w:pos="780"/>
          <w:tab w:val="clear" w:pos="210"/>
        </w:tabs>
        <w:kinsoku/>
        <w:wordWrap/>
        <w:overflowPunct/>
        <w:topLinePunct w:val="0"/>
        <w:autoSpaceDE/>
        <w:autoSpaceDN/>
        <w:bidi w:val="0"/>
        <w:adjustRightInd w:val="0"/>
        <w:snapToGrid w:val="0"/>
        <w:spacing w:after="0" w:line="460" w:lineRule="atLeast"/>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因乙方原因导致合同提前终止的，乙方应退还甲方已支付的未履行部分服务费，承担合同总价20%的违约金，造成甲方损失的，赔偿相应损失。</w:t>
      </w:r>
    </w:p>
    <w:p w14:paraId="580D669F">
      <w:pPr>
        <w:pStyle w:val="2"/>
        <w:keepNext w:val="0"/>
        <w:keepLines w:val="0"/>
        <w:pageBreakBefore w:val="0"/>
        <w:widowControl w:val="0"/>
        <w:numPr>
          <w:ilvl w:val="0"/>
          <w:numId w:val="0"/>
        </w:numPr>
        <w:tabs>
          <w:tab w:val="left" w:pos="1081"/>
        </w:tabs>
        <w:kinsoku/>
        <w:wordWrap/>
        <w:overflowPunct/>
        <w:topLinePunct w:val="0"/>
        <w:autoSpaceDE/>
        <w:autoSpaceDN/>
        <w:bidi w:val="0"/>
        <w:adjustRightInd w:val="0"/>
        <w:snapToGrid w:val="0"/>
        <w:spacing w:before="0" w:beforeLines="0" w:after="0" w:line="460" w:lineRule="atLeast"/>
        <w:ind w:left="420" w:leftChars="0"/>
        <w:textAlignment w:val="auto"/>
        <w:rPr>
          <w:rFonts w:hint="eastAsia" w:ascii="宋体" w:hAnsi="宋体" w:eastAsia="宋体" w:cs="宋体"/>
          <w:b/>
          <w:color w:val="auto"/>
          <w:sz w:val="21"/>
          <w:szCs w:val="21"/>
          <w:highlight w:val="none"/>
        </w:rPr>
      </w:pPr>
      <w:bookmarkStart w:id="47" w:name="heading_41"/>
      <w:r>
        <w:rPr>
          <w:rFonts w:hint="eastAsia" w:cs="宋体"/>
          <w:color w:val="auto"/>
          <w:sz w:val="21"/>
          <w:szCs w:val="21"/>
          <w:highlight w:val="none"/>
          <w:lang w:val="en-US" w:eastAsia="zh-CN"/>
        </w:rPr>
        <w:t>九、</w:t>
      </w:r>
      <w:r>
        <w:rPr>
          <w:rFonts w:hint="eastAsia" w:ascii="宋体" w:hAnsi="宋体" w:eastAsia="宋体" w:cs="宋体"/>
          <w:color w:val="auto"/>
          <w:sz w:val="21"/>
          <w:szCs w:val="21"/>
          <w:highlight w:val="none"/>
        </w:rPr>
        <w:t>合同变更与解除</w:t>
      </w:r>
      <w:bookmarkEnd w:id="47"/>
    </w:p>
    <w:p w14:paraId="601F6FC2">
      <w:pPr>
        <w:pStyle w:val="11"/>
        <w:keepNext w:val="0"/>
        <w:keepLines w:val="0"/>
        <w:pageBreakBefore w:val="0"/>
        <w:widowControl w:val="0"/>
        <w:numPr>
          <w:ilvl w:val="0"/>
          <w:numId w:val="76"/>
        </w:numPr>
        <w:tabs>
          <w:tab w:val="left" w:pos="780"/>
          <w:tab w:val="clear" w:pos="210"/>
        </w:tabs>
        <w:kinsoku/>
        <w:wordWrap/>
        <w:overflowPunct/>
        <w:topLinePunct w:val="0"/>
        <w:autoSpaceDE/>
        <w:autoSpaceDN/>
        <w:bidi w:val="0"/>
        <w:adjustRightInd w:val="0"/>
        <w:snapToGrid w:val="0"/>
        <w:spacing w:after="0" w:line="460" w:lineRule="atLeast"/>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任何一方如需变更合同内容，应提前15日书面通知对方，经双方协商一致并签订书面变更协议后方为有效。</w:t>
      </w:r>
    </w:p>
    <w:p w14:paraId="311AF06B">
      <w:pPr>
        <w:pStyle w:val="11"/>
        <w:keepNext w:val="0"/>
        <w:keepLines w:val="0"/>
        <w:pageBreakBefore w:val="0"/>
        <w:widowControl w:val="0"/>
        <w:numPr>
          <w:ilvl w:val="0"/>
          <w:numId w:val="76"/>
        </w:numPr>
        <w:tabs>
          <w:tab w:val="left" w:pos="780"/>
          <w:tab w:val="clear" w:pos="210"/>
        </w:tabs>
        <w:kinsoku/>
        <w:wordWrap/>
        <w:overflowPunct/>
        <w:topLinePunct w:val="0"/>
        <w:autoSpaceDE/>
        <w:autoSpaceDN/>
        <w:bidi w:val="0"/>
        <w:adjustRightInd w:val="0"/>
        <w:snapToGrid w:val="0"/>
        <w:spacing w:after="0" w:line="460" w:lineRule="atLeast"/>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因不可抗力导致合同无法履行的，双方可协商解除合同，互不承担违约责任。</w:t>
      </w:r>
    </w:p>
    <w:p w14:paraId="34407395">
      <w:pPr>
        <w:pStyle w:val="11"/>
        <w:keepNext w:val="0"/>
        <w:keepLines w:val="0"/>
        <w:pageBreakBefore w:val="0"/>
        <w:widowControl w:val="0"/>
        <w:numPr>
          <w:ilvl w:val="0"/>
          <w:numId w:val="76"/>
        </w:numPr>
        <w:tabs>
          <w:tab w:val="left" w:pos="780"/>
          <w:tab w:val="clear" w:pos="210"/>
        </w:tabs>
        <w:kinsoku/>
        <w:wordWrap/>
        <w:overflowPunct/>
        <w:topLinePunct w:val="0"/>
        <w:autoSpaceDE/>
        <w:autoSpaceDN/>
        <w:bidi w:val="0"/>
        <w:adjustRightInd w:val="0"/>
        <w:snapToGrid w:val="0"/>
        <w:spacing w:after="0" w:line="460" w:lineRule="atLeast"/>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乙方出现下列情形之一的，甲方有权单方面解除合同：</w:t>
      </w:r>
    </w:p>
    <w:p w14:paraId="308EA668">
      <w:pPr>
        <w:pStyle w:val="11"/>
        <w:keepNext w:val="0"/>
        <w:keepLines w:val="0"/>
        <w:pageBreakBefore w:val="0"/>
        <w:widowControl w:val="0"/>
        <w:numPr>
          <w:ilvl w:val="0"/>
          <w:numId w:val="77"/>
        </w:numPr>
        <w:tabs>
          <w:tab w:val="left" w:pos="1080"/>
        </w:tabs>
        <w:kinsoku/>
        <w:wordWrap/>
        <w:overflowPunct/>
        <w:topLinePunct w:val="0"/>
        <w:autoSpaceDE/>
        <w:autoSpaceDN/>
        <w:bidi w:val="0"/>
        <w:adjustRightInd w:val="0"/>
        <w:snapToGrid w:val="0"/>
        <w:spacing w:after="0" w:line="460" w:lineRule="atLeast"/>
        <w:ind w:left="0" w:leftChars="0" w:firstLine="420" w:firstLineChars="200"/>
        <w:textAlignment w:val="auto"/>
        <w:rPr>
          <w:rFonts w:hint="eastAsia" w:ascii="宋体" w:hAnsi="宋体" w:eastAsia="宋体" w:cs="宋体"/>
          <w:b w:val="0"/>
          <w:color w:val="auto"/>
          <w:sz w:val="21"/>
          <w:szCs w:val="21"/>
          <w:highlight w:val="none"/>
        </w:rPr>
      </w:pPr>
      <w:r>
        <w:rPr>
          <w:rFonts w:hint="eastAsia" w:ascii="宋体" w:hAnsi="宋体" w:eastAsia="宋体" w:cs="宋体"/>
          <w:color w:val="auto"/>
          <w:sz w:val="21"/>
          <w:szCs w:val="21"/>
          <w:highlight w:val="none"/>
        </w:rPr>
        <w:t>连续2个月或累计3个月考核不合格，经整改仍未达标的；</w:t>
      </w:r>
    </w:p>
    <w:p w14:paraId="3060DE26">
      <w:pPr>
        <w:pStyle w:val="11"/>
        <w:keepNext w:val="0"/>
        <w:keepLines w:val="0"/>
        <w:pageBreakBefore w:val="0"/>
        <w:widowControl w:val="0"/>
        <w:numPr>
          <w:ilvl w:val="0"/>
          <w:numId w:val="77"/>
        </w:numPr>
        <w:tabs>
          <w:tab w:val="left" w:pos="1080"/>
        </w:tabs>
        <w:kinsoku/>
        <w:wordWrap/>
        <w:overflowPunct/>
        <w:topLinePunct w:val="0"/>
        <w:autoSpaceDE/>
        <w:autoSpaceDN/>
        <w:bidi w:val="0"/>
        <w:adjustRightInd w:val="0"/>
        <w:snapToGrid w:val="0"/>
        <w:spacing w:after="0" w:line="460" w:lineRule="atLeast"/>
        <w:ind w:left="0" w:leftChars="0" w:firstLine="420" w:firstLineChars="200"/>
        <w:textAlignment w:val="auto"/>
        <w:rPr>
          <w:rFonts w:hint="eastAsia" w:ascii="宋体" w:hAnsi="宋体" w:eastAsia="宋体" w:cs="宋体"/>
          <w:b w:val="0"/>
          <w:color w:val="auto"/>
          <w:sz w:val="21"/>
          <w:szCs w:val="21"/>
          <w:highlight w:val="none"/>
        </w:rPr>
      </w:pPr>
      <w:r>
        <w:rPr>
          <w:rFonts w:hint="eastAsia" w:ascii="宋体" w:hAnsi="宋体" w:eastAsia="宋体" w:cs="宋体"/>
          <w:color w:val="auto"/>
          <w:sz w:val="21"/>
          <w:szCs w:val="21"/>
          <w:highlight w:val="none"/>
        </w:rPr>
        <w:t>重大活动保障发生2次及以上事故的；</w:t>
      </w:r>
    </w:p>
    <w:p w14:paraId="4B37F2A4">
      <w:pPr>
        <w:pStyle w:val="11"/>
        <w:keepNext w:val="0"/>
        <w:keepLines w:val="0"/>
        <w:pageBreakBefore w:val="0"/>
        <w:widowControl w:val="0"/>
        <w:numPr>
          <w:ilvl w:val="0"/>
          <w:numId w:val="77"/>
        </w:numPr>
        <w:tabs>
          <w:tab w:val="left" w:pos="1080"/>
        </w:tabs>
        <w:kinsoku/>
        <w:wordWrap/>
        <w:overflowPunct/>
        <w:topLinePunct w:val="0"/>
        <w:autoSpaceDE/>
        <w:autoSpaceDN/>
        <w:bidi w:val="0"/>
        <w:adjustRightInd w:val="0"/>
        <w:snapToGrid w:val="0"/>
        <w:spacing w:after="0" w:line="460" w:lineRule="atLeast"/>
        <w:ind w:left="0" w:leftChars="0" w:firstLine="420" w:firstLineChars="200"/>
        <w:textAlignment w:val="auto"/>
        <w:rPr>
          <w:rFonts w:hint="eastAsia" w:ascii="宋体" w:hAnsi="宋体" w:eastAsia="宋体" w:cs="宋体"/>
          <w:b w:val="0"/>
          <w:color w:val="auto"/>
          <w:sz w:val="21"/>
          <w:szCs w:val="21"/>
          <w:highlight w:val="none"/>
        </w:rPr>
      </w:pPr>
      <w:r>
        <w:rPr>
          <w:rFonts w:hint="eastAsia" w:ascii="宋体" w:hAnsi="宋体" w:eastAsia="宋体" w:cs="宋体"/>
          <w:color w:val="auto"/>
          <w:sz w:val="21"/>
          <w:szCs w:val="21"/>
          <w:highlight w:val="none"/>
        </w:rPr>
        <w:t>未按约定配备人员，经甲方要求更换仍未更换或更换后仍不符合要求的；</w:t>
      </w:r>
    </w:p>
    <w:p w14:paraId="5B2697AC">
      <w:pPr>
        <w:pStyle w:val="11"/>
        <w:keepNext w:val="0"/>
        <w:keepLines w:val="0"/>
        <w:pageBreakBefore w:val="0"/>
        <w:widowControl w:val="0"/>
        <w:numPr>
          <w:ilvl w:val="0"/>
          <w:numId w:val="77"/>
        </w:numPr>
        <w:tabs>
          <w:tab w:val="left" w:pos="1080"/>
        </w:tabs>
        <w:kinsoku/>
        <w:wordWrap/>
        <w:overflowPunct/>
        <w:topLinePunct w:val="0"/>
        <w:autoSpaceDE/>
        <w:autoSpaceDN/>
        <w:bidi w:val="0"/>
        <w:adjustRightInd w:val="0"/>
        <w:snapToGrid w:val="0"/>
        <w:spacing w:after="0" w:line="460" w:lineRule="atLeast"/>
        <w:ind w:left="0" w:leftChars="0" w:firstLine="420" w:firstLineChars="200"/>
        <w:textAlignment w:val="auto"/>
        <w:rPr>
          <w:rFonts w:hint="eastAsia" w:ascii="宋体" w:hAnsi="宋体" w:eastAsia="宋体" w:cs="宋体"/>
          <w:b w:val="0"/>
          <w:color w:val="auto"/>
          <w:sz w:val="21"/>
          <w:szCs w:val="21"/>
          <w:highlight w:val="none"/>
        </w:rPr>
      </w:pPr>
      <w:r>
        <w:rPr>
          <w:rFonts w:hint="eastAsia" w:ascii="宋体" w:hAnsi="宋体" w:eastAsia="宋体" w:cs="宋体"/>
          <w:color w:val="auto"/>
          <w:sz w:val="21"/>
          <w:szCs w:val="21"/>
          <w:highlight w:val="none"/>
        </w:rPr>
        <w:t>擅自转包、分包本项目的；</w:t>
      </w:r>
    </w:p>
    <w:p w14:paraId="1D8AB501">
      <w:pPr>
        <w:pStyle w:val="11"/>
        <w:keepNext w:val="0"/>
        <w:keepLines w:val="0"/>
        <w:pageBreakBefore w:val="0"/>
        <w:widowControl w:val="0"/>
        <w:numPr>
          <w:ilvl w:val="0"/>
          <w:numId w:val="77"/>
        </w:numPr>
        <w:tabs>
          <w:tab w:val="left" w:pos="1080"/>
        </w:tabs>
        <w:kinsoku/>
        <w:wordWrap/>
        <w:overflowPunct/>
        <w:topLinePunct w:val="0"/>
        <w:autoSpaceDE/>
        <w:autoSpaceDN/>
        <w:bidi w:val="0"/>
        <w:adjustRightInd w:val="0"/>
        <w:snapToGrid w:val="0"/>
        <w:spacing w:after="0" w:line="460" w:lineRule="atLeast"/>
        <w:ind w:left="0" w:leftChars="0" w:firstLine="420" w:firstLineChars="200"/>
        <w:textAlignment w:val="auto"/>
        <w:rPr>
          <w:rFonts w:hint="eastAsia" w:ascii="宋体" w:hAnsi="宋体" w:eastAsia="宋体" w:cs="宋体"/>
          <w:b w:val="0"/>
          <w:color w:val="auto"/>
          <w:sz w:val="21"/>
          <w:szCs w:val="21"/>
          <w:highlight w:val="none"/>
        </w:rPr>
      </w:pPr>
      <w:r>
        <w:rPr>
          <w:rFonts w:hint="eastAsia" w:ascii="宋体" w:hAnsi="宋体" w:eastAsia="宋体" w:cs="宋体"/>
          <w:color w:val="auto"/>
          <w:sz w:val="21"/>
          <w:szCs w:val="21"/>
          <w:highlight w:val="none"/>
        </w:rPr>
        <w:t>严重违反本合同约定的其他情形。</w:t>
      </w:r>
    </w:p>
    <w:p w14:paraId="619BE17D">
      <w:pPr>
        <w:pStyle w:val="2"/>
        <w:keepNext w:val="0"/>
        <w:keepLines w:val="0"/>
        <w:pageBreakBefore w:val="0"/>
        <w:widowControl w:val="0"/>
        <w:numPr>
          <w:ilvl w:val="0"/>
          <w:numId w:val="0"/>
        </w:numPr>
        <w:tabs>
          <w:tab w:val="left" w:pos="1081"/>
        </w:tabs>
        <w:kinsoku/>
        <w:wordWrap/>
        <w:overflowPunct/>
        <w:topLinePunct w:val="0"/>
        <w:autoSpaceDE/>
        <w:autoSpaceDN/>
        <w:bidi w:val="0"/>
        <w:adjustRightInd w:val="0"/>
        <w:snapToGrid w:val="0"/>
        <w:spacing w:before="0" w:beforeLines="0" w:after="0" w:line="460" w:lineRule="atLeast"/>
        <w:ind w:left="420" w:leftChars="0"/>
        <w:textAlignment w:val="auto"/>
        <w:rPr>
          <w:rFonts w:hint="eastAsia" w:ascii="宋体" w:hAnsi="宋体" w:eastAsia="宋体" w:cs="宋体"/>
          <w:b/>
          <w:color w:val="auto"/>
          <w:sz w:val="21"/>
          <w:szCs w:val="21"/>
          <w:highlight w:val="none"/>
        </w:rPr>
      </w:pPr>
      <w:bookmarkStart w:id="48" w:name="heading_42"/>
      <w:r>
        <w:rPr>
          <w:rFonts w:hint="eastAsia" w:cs="宋体"/>
          <w:color w:val="auto"/>
          <w:sz w:val="21"/>
          <w:szCs w:val="21"/>
          <w:highlight w:val="none"/>
          <w:lang w:val="en-US" w:eastAsia="zh-CN"/>
        </w:rPr>
        <w:t>十、</w:t>
      </w:r>
      <w:r>
        <w:rPr>
          <w:rFonts w:hint="eastAsia" w:ascii="宋体" w:hAnsi="宋体" w:eastAsia="宋体" w:cs="宋体"/>
          <w:color w:val="auto"/>
          <w:sz w:val="21"/>
          <w:szCs w:val="21"/>
          <w:highlight w:val="none"/>
        </w:rPr>
        <w:t>争议解决</w:t>
      </w:r>
      <w:bookmarkEnd w:id="48"/>
    </w:p>
    <w:p w14:paraId="330CF83B">
      <w:pPr>
        <w:pStyle w:val="11"/>
        <w:keepNext w:val="0"/>
        <w:keepLines w:val="0"/>
        <w:pageBreakBefore w:val="0"/>
        <w:widowControl w:val="0"/>
        <w:kinsoku/>
        <w:wordWrap/>
        <w:overflowPunct/>
        <w:topLinePunct w:val="0"/>
        <w:autoSpaceDE/>
        <w:autoSpaceDN/>
        <w:bidi w:val="0"/>
        <w:adjustRightInd w:val="0"/>
        <w:snapToGrid w:val="0"/>
        <w:spacing w:after="0" w:line="460" w:lineRule="atLeast"/>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双方在履行合同过程中发生的争议，应通过协商解决；协商不成的，可向合同签订地人民法院提起诉讼（合同签订地为盐城国际会展中心所在地）。</w:t>
      </w:r>
    </w:p>
    <w:p w14:paraId="13AEB6B3">
      <w:pPr>
        <w:pStyle w:val="2"/>
        <w:keepNext w:val="0"/>
        <w:keepLines w:val="0"/>
        <w:pageBreakBefore w:val="0"/>
        <w:widowControl w:val="0"/>
        <w:numPr>
          <w:ilvl w:val="0"/>
          <w:numId w:val="0"/>
        </w:numPr>
        <w:tabs>
          <w:tab w:val="left" w:pos="1081"/>
        </w:tabs>
        <w:kinsoku/>
        <w:wordWrap/>
        <w:overflowPunct/>
        <w:topLinePunct w:val="0"/>
        <w:autoSpaceDE/>
        <w:autoSpaceDN/>
        <w:bidi w:val="0"/>
        <w:adjustRightInd w:val="0"/>
        <w:snapToGrid w:val="0"/>
        <w:spacing w:before="0" w:beforeLines="0" w:after="0" w:line="460" w:lineRule="atLeast"/>
        <w:ind w:left="420" w:leftChars="0"/>
        <w:textAlignment w:val="auto"/>
        <w:rPr>
          <w:rFonts w:hint="eastAsia" w:ascii="宋体" w:hAnsi="宋体" w:eastAsia="宋体" w:cs="宋体"/>
          <w:b/>
          <w:color w:val="auto"/>
          <w:sz w:val="21"/>
          <w:szCs w:val="21"/>
          <w:highlight w:val="none"/>
        </w:rPr>
      </w:pPr>
      <w:bookmarkStart w:id="49" w:name="heading_43"/>
      <w:r>
        <w:rPr>
          <w:rFonts w:hint="eastAsia" w:cs="宋体"/>
          <w:color w:val="auto"/>
          <w:sz w:val="21"/>
          <w:szCs w:val="21"/>
          <w:highlight w:val="none"/>
          <w:lang w:val="en-US" w:eastAsia="zh-CN"/>
        </w:rPr>
        <w:t>十一、</w:t>
      </w:r>
      <w:r>
        <w:rPr>
          <w:rFonts w:hint="eastAsia" w:ascii="宋体" w:hAnsi="宋体" w:eastAsia="宋体" w:cs="宋体"/>
          <w:color w:val="auto"/>
          <w:sz w:val="21"/>
          <w:szCs w:val="21"/>
          <w:highlight w:val="none"/>
        </w:rPr>
        <w:t>其他</w:t>
      </w:r>
      <w:bookmarkEnd w:id="49"/>
    </w:p>
    <w:p w14:paraId="65672224">
      <w:pPr>
        <w:pStyle w:val="11"/>
        <w:keepNext w:val="0"/>
        <w:keepLines w:val="0"/>
        <w:pageBreakBefore w:val="0"/>
        <w:widowControl w:val="0"/>
        <w:numPr>
          <w:ilvl w:val="0"/>
          <w:numId w:val="78"/>
        </w:numPr>
        <w:tabs>
          <w:tab w:val="left" w:pos="780"/>
          <w:tab w:val="clear" w:pos="210"/>
        </w:tabs>
        <w:kinsoku/>
        <w:wordWrap/>
        <w:overflowPunct/>
        <w:topLinePunct w:val="0"/>
        <w:autoSpaceDE/>
        <w:autoSpaceDN/>
        <w:bidi w:val="0"/>
        <w:adjustRightInd w:val="0"/>
        <w:snapToGrid w:val="0"/>
        <w:spacing w:after="0" w:line="460" w:lineRule="atLeast"/>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本合同自双方签字盖章之日起生效，服务期届满且款项结清后终止。</w:t>
      </w:r>
    </w:p>
    <w:p w14:paraId="199251F4">
      <w:pPr>
        <w:pStyle w:val="11"/>
        <w:keepNext w:val="0"/>
        <w:keepLines w:val="0"/>
        <w:pageBreakBefore w:val="0"/>
        <w:widowControl w:val="0"/>
        <w:numPr>
          <w:ilvl w:val="0"/>
          <w:numId w:val="78"/>
        </w:numPr>
        <w:tabs>
          <w:tab w:val="left" w:pos="780"/>
          <w:tab w:val="clear" w:pos="210"/>
        </w:tabs>
        <w:kinsoku/>
        <w:wordWrap/>
        <w:overflowPunct/>
        <w:topLinePunct w:val="0"/>
        <w:autoSpaceDE/>
        <w:autoSpaceDN/>
        <w:bidi w:val="0"/>
        <w:adjustRightInd w:val="0"/>
        <w:snapToGrid w:val="0"/>
        <w:spacing w:after="0" w:line="460" w:lineRule="atLeast"/>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本合同一式陆份，甲乙双方各执叁份，具有同等法律效力。</w:t>
      </w:r>
    </w:p>
    <w:p w14:paraId="2884F54E">
      <w:pPr>
        <w:pStyle w:val="11"/>
        <w:keepNext w:val="0"/>
        <w:keepLines w:val="0"/>
        <w:pageBreakBefore w:val="0"/>
        <w:widowControl w:val="0"/>
        <w:numPr>
          <w:ilvl w:val="0"/>
          <w:numId w:val="78"/>
        </w:numPr>
        <w:tabs>
          <w:tab w:val="left" w:pos="780"/>
          <w:tab w:val="clear" w:pos="210"/>
        </w:tabs>
        <w:kinsoku/>
        <w:wordWrap/>
        <w:overflowPunct/>
        <w:topLinePunct w:val="0"/>
        <w:autoSpaceDE/>
        <w:autoSpaceDN/>
        <w:bidi w:val="0"/>
        <w:adjustRightInd w:val="0"/>
        <w:snapToGrid w:val="0"/>
        <w:spacing w:after="0" w:line="460" w:lineRule="atLeast"/>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本合同未尽事宜，由双方协商一致后签订补充协议，补充协议与本合同具有同等法律效力。</w:t>
      </w:r>
    </w:p>
    <w:p w14:paraId="7E62C36A">
      <w:pPr>
        <w:keepNext w:val="0"/>
        <w:keepLines w:val="0"/>
        <w:pageBreakBefore w:val="0"/>
        <w:widowControl w:val="0"/>
        <w:kinsoku/>
        <w:wordWrap/>
        <w:overflowPunct/>
        <w:topLinePunct w:val="0"/>
        <w:autoSpaceDE/>
        <w:autoSpaceDN/>
        <w:bidi w:val="0"/>
        <w:adjustRightInd w:val="0"/>
        <w:snapToGrid w:val="0"/>
        <w:spacing w:afterAutospacing="0" w:line="460" w:lineRule="atLeast"/>
        <w:ind w:left="480" w:leftChars="0" w:firstLine="0" w:firstLineChars="0"/>
        <w:jc w:val="left"/>
        <w:textAlignment w:val="auto"/>
        <w:rPr>
          <w:rFonts w:hint="eastAsia" w:ascii="宋体" w:hAnsi="宋体" w:eastAsia="宋体" w:cs="宋体"/>
          <w:color w:val="auto"/>
          <w:sz w:val="21"/>
          <w:szCs w:val="21"/>
          <w:highlight w:val="none"/>
        </w:rPr>
      </w:pPr>
    </w:p>
    <w:p w14:paraId="12C75DEA">
      <w:pPr>
        <w:keepNext w:val="0"/>
        <w:keepLines w:val="0"/>
        <w:pageBreakBefore w:val="0"/>
        <w:widowControl w:val="0"/>
        <w:kinsoku/>
        <w:wordWrap/>
        <w:overflowPunct/>
        <w:topLinePunct w:val="0"/>
        <w:autoSpaceDE/>
        <w:autoSpaceDN/>
        <w:bidi w:val="0"/>
        <w:adjustRightInd w:val="0"/>
        <w:snapToGrid w:val="0"/>
        <w:spacing w:afterAutospacing="0" w:line="460" w:lineRule="atLeast"/>
        <w:ind w:left="480" w:leftChars="0" w:firstLine="0" w:firstLineChars="0"/>
        <w:jc w:val="left"/>
        <w:textAlignment w:val="auto"/>
        <w:rPr>
          <w:rFonts w:hint="eastAsia" w:ascii="宋体" w:hAnsi="宋体" w:eastAsia="宋体" w:cs="宋体"/>
          <w:color w:val="auto"/>
          <w:sz w:val="21"/>
          <w:szCs w:val="21"/>
          <w:highlight w:val="none"/>
        </w:rPr>
      </w:pPr>
    </w:p>
    <w:p w14:paraId="33734142">
      <w:pPr>
        <w:keepNext w:val="0"/>
        <w:keepLines w:val="0"/>
        <w:pageBreakBefore w:val="0"/>
        <w:widowControl w:val="0"/>
        <w:kinsoku/>
        <w:wordWrap/>
        <w:overflowPunct/>
        <w:topLinePunct w:val="0"/>
        <w:autoSpaceDE/>
        <w:autoSpaceDN/>
        <w:bidi w:val="0"/>
        <w:adjustRightInd w:val="0"/>
        <w:snapToGrid w:val="0"/>
        <w:spacing w:afterAutospacing="0" w:line="460" w:lineRule="atLeast"/>
        <w:ind w:left="480" w:leftChars="0"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甲方（盖章）：</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乙方（盖章）：</w:t>
      </w:r>
    </w:p>
    <w:p w14:paraId="6FCBE217">
      <w:pPr>
        <w:keepNext w:val="0"/>
        <w:keepLines w:val="0"/>
        <w:pageBreakBefore w:val="0"/>
        <w:widowControl w:val="0"/>
        <w:kinsoku/>
        <w:wordWrap/>
        <w:overflowPunct/>
        <w:topLinePunct w:val="0"/>
        <w:autoSpaceDE/>
        <w:autoSpaceDN/>
        <w:bidi w:val="0"/>
        <w:adjustRightInd w:val="0"/>
        <w:snapToGrid w:val="0"/>
        <w:spacing w:afterAutospacing="0" w:line="460" w:lineRule="atLeast"/>
        <w:ind w:left="480" w:leftChars="0"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法定代表人或委托代理人（签字）：</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法定代表人或委托代理人（签字）：</w:t>
      </w:r>
    </w:p>
    <w:p w14:paraId="2DFB9DC9">
      <w:pPr>
        <w:keepNext w:val="0"/>
        <w:keepLines w:val="0"/>
        <w:pageBreakBefore w:val="0"/>
        <w:widowControl w:val="0"/>
        <w:kinsoku/>
        <w:wordWrap/>
        <w:overflowPunct/>
        <w:topLinePunct w:val="0"/>
        <w:autoSpaceDE/>
        <w:autoSpaceDN/>
        <w:bidi w:val="0"/>
        <w:adjustRightInd w:val="0"/>
        <w:snapToGrid w:val="0"/>
        <w:spacing w:afterAutospacing="0" w:line="460" w:lineRule="atLeast"/>
        <w:ind w:left="480" w:leftChars="0" w:firstLine="4620" w:firstLineChars="2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签订日期： 年 月 日</w:t>
      </w:r>
    </w:p>
    <w:p w14:paraId="7B438976">
      <w:pPr>
        <w:rPr>
          <w:rFonts w:hint="eastAsia" w:ascii="宋体" w:hAnsi="宋体" w:eastAsia="宋体" w:cs="宋体"/>
          <w:b/>
          <w:color w:val="auto"/>
          <w:sz w:val="21"/>
          <w:szCs w:val="21"/>
          <w:highlight w:val="none"/>
        </w:rPr>
      </w:pPr>
      <w:r>
        <w:rPr>
          <w:rFonts w:hint="eastAsia" w:ascii="宋体" w:hAnsi="宋体" w:eastAsia="宋体" w:cs="宋体"/>
          <w:color w:val="auto"/>
          <w:sz w:val="24"/>
          <w:highlight w:val="none"/>
        </w:rPr>
        <w:br w:type="page"/>
      </w:r>
      <w:r>
        <w:rPr>
          <w:rFonts w:hint="eastAsia" w:ascii="宋体" w:hAnsi="宋体" w:eastAsia="宋体" w:cs="宋体"/>
          <w:color w:val="auto"/>
          <w:sz w:val="21"/>
          <w:szCs w:val="21"/>
          <w:highlight w:val="none"/>
        </w:rPr>
        <w:t>附件1：</w:t>
      </w:r>
    </w:p>
    <w:p w14:paraId="7FD5A3CB">
      <w:pPr>
        <w:pStyle w:val="45"/>
        <w:jc w:val="center"/>
        <w:rPr>
          <w:rFonts w:hint="eastAsia" w:ascii="宋体" w:hAnsi="宋体" w:eastAsia="宋体" w:cs="宋体"/>
          <w:b/>
          <w:color w:val="auto"/>
          <w:sz w:val="36"/>
          <w:szCs w:val="36"/>
          <w:highlight w:val="none"/>
        </w:rPr>
      </w:pPr>
      <w:r>
        <w:rPr>
          <w:rFonts w:hint="eastAsia" w:ascii="宋体" w:hAnsi="宋体" w:eastAsia="宋体" w:cs="宋体"/>
          <w:b/>
          <w:color w:val="auto"/>
          <w:sz w:val="36"/>
          <w:szCs w:val="36"/>
          <w:highlight w:val="none"/>
        </w:rPr>
        <w:t>开发区建设工程结算审核责任书</w:t>
      </w:r>
    </w:p>
    <w:p w14:paraId="39656D50">
      <w:pPr>
        <w:spacing w:line="360" w:lineRule="auto"/>
        <w:ind w:left="420" w:leftChars="200" w:firstLine="2310" w:firstLineChars="1100"/>
        <w:rPr>
          <w:rFonts w:hint="eastAsia" w:ascii="宋体" w:hAnsi="宋体" w:eastAsia="宋体" w:cs="宋体"/>
          <w:color w:val="auto"/>
          <w:highlight w:val="none"/>
        </w:rPr>
      </w:pPr>
    </w:p>
    <w:p w14:paraId="3A7FFE71">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u w:val="single"/>
        </w:rPr>
        <w:t>甲方</w:t>
      </w:r>
      <w:r>
        <w:rPr>
          <w:rFonts w:hint="eastAsia" w:ascii="宋体" w:hAnsi="宋体" w:eastAsia="宋体" w:cs="宋体"/>
          <w:color w:val="auto"/>
          <w:sz w:val="21"/>
          <w:szCs w:val="21"/>
          <w:highlight w:val="none"/>
        </w:rPr>
        <w:t>：</w:t>
      </w:r>
    </w:p>
    <w:p w14:paraId="2FB119A5">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真实、准确、及时地编制工程竣工结算，是我单位守法经营、诚实信用、履行合同承诺的重要内容。因此我单位在结算资料报送前，已认真审查，确保了结算质量，误差率已控制在5%以内。为了严格控制高估冒算、虚报冒领的错误行为，确保工程结算的真实性准确性，实施对我单位编报的工程结算的质量与费用挂钩的措施：</w:t>
      </w:r>
    </w:p>
    <w:p w14:paraId="275AD791">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我单位承诺所编报的工程结算，经你单位委托的工程咨询单位审核后，其误差率达5%以上者，应承担如下处罚：一审的处罚额=（核增额+核减额）*5%-报审价*5%*5%；复审或抽审处罚额=复审或抽审（核增额+核减额）*20%；一审不超5%，但复审或抽审与一审累计超过5%的，复审或抽审处罚额=复审或抽审（核增额+核减额）*20%，在工程结算时予以扣款。</w:t>
      </w:r>
    </w:p>
    <w:p w14:paraId="77406EC5">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2、我单位报送的结算中，有关经济签证已齐全，手续也已完善，若在审核工程中，发现签证不全或手续不完善的，我单位承诺不再补办，也不要求计取。</w:t>
      </w:r>
    </w:p>
    <w:p w14:paraId="2014A7E4">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3、我单位报送的结算资料是复印件的，报审时携带原件核对。</w:t>
      </w:r>
    </w:p>
    <w:p w14:paraId="7FD3A7D7">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4、我单位授权</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（项目负责人），联系方式</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全权代表我单位处理本工程有关结算事宜，中途承诺不另换他人。如遇特殊情况，我单位应以书面的形式征得甲方的同意。</w:t>
      </w:r>
    </w:p>
    <w:p w14:paraId="03CB4B51">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5、审核过程中，我单位保证密切配合，以确保及时、准确地完成工程结算审核工作。</w:t>
      </w:r>
    </w:p>
    <w:p w14:paraId="470F534A">
      <w:pPr>
        <w:spacing w:line="360" w:lineRule="auto"/>
        <w:rPr>
          <w:rFonts w:hint="eastAsia" w:ascii="宋体" w:hAnsi="宋体" w:eastAsia="宋体" w:cs="宋体"/>
          <w:color w:val="auto"/>
          <w:sz w:val="21"/>
          <w:szCs w:val="21"/>
          <w:highlight w:val="none"/>
        </w:rPr>
      </w:pPr>
    </w:p>
    <w:p w14:paraId="0BB91EB0">
      <w:pPr>
        <w:spacing w:line="360" w:lineRule="auto"/>
        <w:ind w:left="420" w:leftChars="200" w:firstLine="2310" w:firstLineChars="11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乙方：         （盖章）</w:t>
      </w:r>
    </w:p>
    <w:p w14:paraId="36DD5C70">
      <w:pPr>
        <w:spacing w:line="360" w:lineRule="auto"/>
        <w:ind w:left="420" w:leftChars="200" w:firstLine="2310" w:firstLineChars="1100"/>
        <w:rPr>
          <w:rFonts w:hint="eastAsia" w:ascii="宋体" w:hAnsi="宋体" w:eastAsia="宋体" w:cs="宋体"/>
          <w:color w:val="auto"/>
          <w:sz w:val="21"/>
          <w:szCs w:val="21"/>
          <w:highlight w:val="none"/>
        </w:rPr>
      </w:pPr>
    </w:p>
    <w:p w14:paraId="506C5638">
      <w:pPr>
        <w:spacing w:line="360" w:lineRule="auto"/>
        <w:ind w:left="420" w:leftChars="200" w:firstLine="2310" w:firstLineChars="11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经办人：       （签字）</w:t>
      </w:r>
    </w:p>
    <w:p w14:paraId="459B0E63">
      <w:pPr>
        <w:spacing w:line="360" w:lineRule="auto"/>
        <w:rPr>
          <w:rFonts w:hint="eastAsia" w:ascii="宋体" w:hAnsi="宋体" w:eastAsia="宋体" w:cs="宋体"/>
          <w:b/>
          <w:color w:val="auto"/>
          <w:sz w:val="21"/>
          <w:szCs w:val="21"/>
          <w:highlight w:val="none"/>
        </w:rPr>
      </w:pPr>
    </w:p>
    <w:p w14:paraId="33A2DC7C">
      <w:pPr>
        <w:rPr>
          <w:rFonts w:hint="eastAsia" w:ascii="宋体" w:hAnsi="宋体" w:eastAsia="宋体" w:cs="宋体"/>
          <w:b/>
          <w:color w:val="auto"/>
          <w:highlight w:val="none"/>
        </w:rPr>
      </w:pPr>
      <w:r>
        <w:rPr>
          <w:rFonts w:hint="eastAsia" w:ascii="宋体" w:hAnsi="宋体" w:eastAsia="宋体" w:cs="宋体"/>
          <w:b/>
          <w:color w:val="auto"/>
          <w:sz w:val="21"/>
          <w:szCs w:val="21"/>
          <w:highlight w:val="none"/>
        </w:rPr>
        <w:t>注：</w:t>
      </w:r>
      <w:r>
        <w:rPr>
          <w:rFonts w:hint="eastAsia" w:ascii="宋体" w:hAnsi="宋体" w:eastAsia="宋体" w:cs="宋体"/>
          <w:b/>
          <w:color w:val="auto"/>
          <w:sz w:val="21"/>
          <w:szCs w:val="21"/>
          <w:highlight w:val="none"/>
          <w:u w:val="single"/>
        </w:rPr>
        <w:t>本项目中标单位在中标后签订合同前必须签定本责任书，并作为合同的附件，否则</w:t>
      </w:r>
      <w:r>
        <w:rPr>
          <w:rFonts w:hint="eastAsia" w:ascii="宋体" w:hAnsi="宋体" w:eastAsia="宋体" w:cs="宋体"/>
          <w:b/>
          <w:color w:val="auto"/>
          <w:sz w:val="21"/>
          <w:szCs w:val="21"/>
          <w:highlight w:val="none"/>
          <w:u w:val="single"/>
          <w:lang w:val="en-US" w:eastAsia="zh-CN"/>
        </w:rPr>
        <w:t>甲方</w:t>
      </w:r>
      <w:r>
        <w:rPr>
          <w:rFonts w:hint="eastAsia" w:ascii="宋体" w:hAnsi="宋体" w:eastAsia="宋体" w:cs="宋体"/>
          <w:b/>
          <w:color w:val="auto"/>
          <w:sz w:val="21"/>
          <w:szCs w:val="21"/>
          <w:highlight w:val="none"/>
          <w:u w:val="single"/>
        </w:rPr>
        <w:t>有权取消其中标资格</w:t>
      </w:r>
      <w:r>
        <w:rPr>
          <w:rFonts w:hint="eastAsia" w:ascii="宋体" w:hAnsi="宋体" w:eastAsia="宋体" w:cs="宋体"/>
          <w:b/>
          <w:color w:val="auto"/>
          <w:sz w:val="21"/>
          <w:szCs w:val="21"/>
          <w:highlight w:val="none"/>
        </w:rPr>
        <w:t>。</w:t>
      </w:r>
    </w:p>
    <w:p w14:paraId="055D2929">
      <w:pPr>
        <w:rPr>
          <w:rFonts w:hint="eastAsia" w:ascii="宋体" w:hAnsi="宋体" w:eastAsia="宋体" w:cs="宋体"/>
          <w:b/>
          <w:color w:val="auto"/>
          <w:highlight w:val="none"/>
        </w:rPr>
      </w:pPr>
    </w:p>
    <w:p w14:paraId="32E0D3EB">
      <w:pPr>
        <w:spacing w:before="120" w:after="120" w:afterAutospacing="0" w:line="360" w:lineRule="auto"/>
        <w:ind w:left="480" w:leftChars="0" w:firstLine="0" w:firstLineChars="0"/>
        <w:jc w:val="left"/>
        <w:rPr>
          <w:rFonts w:hint="eastAsia" w:ascii="宋体" w:hAnsi="宋体" w:eastAsia="宋体" w:cs="宋体"/>
          <w:color w:val="auto"/>
          <w:sz w:val="24"/>
          <w:highlight w:val="none"/>
        </w:rPr>
      </w:pPr>
    </w:p>
    <w:p w14:paraId="7FE426DA">
      <w:pPr>
        <w:pStyle w:val="21"/>
        <w:tabs>
          <w:tab w:val="left" w:pos="0"/>
        </w:tabs>
        <w:ind w:left="0" w:leftChars="0" w:firstLine="0" w:firstLineChars="0"/>
        <w:outlineLvl w:val="0"/>
        <w:rPr>
          <w:rFonts w:hint="eastAsia" w:ascii="宋体" w:hAnsi="宋体" w:eastAsia="宋体" w:cs="宋体"/>
          <w:b/>
          <w:bCs/>
          <w:color w:val="auto"/>
          <w:sz w:val="28"/>
          <w:szCs w:val="28"/>
          <w:highlight w:val="none"/>
        </w:rPr>
      </w:pPr>
      <w:bookmarkStart w:id="50" w:name="heading_44"/>
      <w:r>
        <w:rPr>
          <w:rFonts w:hint="eastAsia" w:ascii="宋体" w:hAnsi="宋体" w:eastAsia="宋体" w:cs="宋体"/>
          <w:color w:val="auto"/>
          <w:highlight w:val="none"/>
        </w:rPr>
        <w:br w:type="page"/>
      </w:r>
      <w:r>
        <w:rPr>
          <w:rFonts w:hint="eastAsia" w:ascii="宋体" w:hAnsi="宋体" w:eastAsia="宋体" w:cs="宋体"/>
          <w:b/>
          <w:bCs/>
          <w:color w:val="auto"/>
          <w:sz w:val="28"/>
          <w:szCs w:val="28"/>
          <w:highlight w:val="none"/>
        </w:rPr>
        <w:t>第五章 招标需求</w:t>
      </w:r>
      <w:bookmarkEnd w:id="50"/>
    </w:p>
    <w:p w14:paraId="401B764D">
      <w:pPr>
        <w:keepNext w:val="0"/>
        <w:keepLines w:val="0"/>
        <w:pageBreakBefore w:val="0"/>
        <w:widowControl w:val="0"/>
        <w:kinsoku/>
        <w:wordWrap/>
        <w:overflowPunct/>
        <w:topLinePunct w:val="0"/>
        <w:autoSpaceDE/>
        <w:autoSpaceDN/>
        <w:bidi w:val="0"/>
        <w:adjustRightInd w:val="0"/>
        <w:snapToGrid w:val="0"/>
        <w:spacing w:line="460" w:lineRule="atLeast"/>
        <w:jc w:val="left"/>
        <w:textAlignment w:val="auto"/>
        <w:outlineLvl w:val="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一、项目概况</w:t>
      </w:r>
    </w:p>
    <w:p w14:paraId="11607DF1">
      <w:pPr>
        <w:keepNext w:val="0"/>
        <w:keepLines w:val="0"/>
        <w:pageBreakBefore w:val="0"/>
        <w:widowControl w:val="0"/>
        <w:kinsoku/>
        <w:wordWrap/>
        <w:overflowPunct/>
        <w:topLinePunct w:val="0"/>
        <w:autoSpaceDE/>
        <w:autoSpaceDN/>
        <w:bidi w:val="0"/>
        <w:adjustRightInd w:val="0"/>
        <w:snapToGrid w:val="0"/>
        <w:spacing w:line="460" w:lineRule="atLeas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本项目为2026年度盐城国际会展中心弱电智能化维保及活动保障服务，会展中心总建筑面积约14.4万平方米，其中老馆区域面积约4.2万平方米，改扩建区域（含D</w:t>
      </w:r>
      <w:r>
        <w:rPr>
          <w:rFonts w:hint="eastAsia" w:ascii="宋体" w:hAnsi="宋体" w:eastAsia="宋体" w:cs="宋体"/>
          <w:color w:val="auto"/>
          <w:sz w:val="21"/>
          <w:szCs w:val="21"/>
          <w:highlight w:val="none"/>
          <w:lang w:val="en-US" w:eastAsia="zh-CN"/>
        </w:rPr>
        <w:t>EF</w:t>
      </w:r>
      <w:r>
        <w:rPr>
          <w:rFonts w:hint="eastAsia" w:ascii="宋体" w:hAnsi="宋体" w:eastAsia="宋体" w:cs="宋体"/>
          <w:color w:val="auto"/>
          <w:sz w:val="21"/>
          <w:szCs w:val="21"/>
          <w:highlight w:val="none"/>
        </w:rPr>
        <w:t>馆及配套设施）面积约10万平方米，涵盖展厅、会议区、配套服务区等核心功能区域。核心服务范围涵盖会展中心改扩建工程涉及的所有弱电智能化设备、线路及配套设施，同时包含老馆现有大屏系统、网络设备、各类弱电线路及相关附属设施。服务旨在保障整个会展中心弱电智能化系统稳定、高效运行，满足日常运营、常规活动、大型活动及重要会议的使用需求，提供专业会议服务保障，及时排查并解决系统故障，延长设备使用寿命，确保各类活动及会议顺利开展。</w:t>
      </w:r>
    </w:p>
    <w:p w14:paraId="7174C189">
      <w:pPr>
        <w:keepNext w:val="0"/>
        <w:keepLines w:val="0"/>
        <w:pageBreakBefore w:val="0"/>
        <w:widowControl w:val="0"/>
        <w:kinsoku/>
        <w:wordWrap/>
        <w:overflowPunct/>
        <w:topLinePunct w:val="0"/>
        <w:autoSpaceDE/>
        <w:autoSpaceDN/>
        <w:bidi w:val="0"/>
        <w:adjustRightInd w:val="0"/>
        <w:snapToGrid w:val="0"/>
        <w:spacing w:line="460" w:lineRule="atLeast"/>
        <w:jc w:val="left"/>
        <w:textAlignment w:val="auto"/>
        <w:outlineLvl w:val="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二、服务期限及试用期</w:t>
      </w:r>
    </w:p>
    <w:p w14:paraId="702A2A9B">
      <w:pPr>
        <w:keepNext w:val="0"/>
        <w:keepLines w:val="0"/>
        <w:pageBreakBefore w:val="0"/>
        <w:widowControl w:val="0"/>
        <w:kinsoku/>
        <w:wordWrap/>
        <w:overflowPunct/>
        <w:topLinePunct w:val="0"/>
        <w:autoSpaceDE/>
        <w:autoSpaceDN/>
        <w:bidi w:val="0"/>
        <w:adjustRightInd w:val="0"/>
        <w:snapToGrid w:val="0"/>
        <w:spacing w:line="460" w:lineRule="atLeas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1.本项目服务期限</w:t>
      </w:r>
      <w:r>
        <w:rPr>
          <w:rFonts w:hint="eastAsia" w:ascii="宋体" w:hAnsi="宋体" w:eastAsia="宋体" w:cs="宋体"/>
          <w:color w:val="auto"/>
          <w:sz w:val="21"/>
          <w:szCs w:val="21"/>
          <w:highlight w:val="none"/>
          <w:lang w:val="en-US" w:eastAsia="zh-CN"/>
        </w:rPr>
        <w:t>为</w:t>
      </w:r>
      <w:r>
        <w:rPr>
          <w:rFonts w:hint="eastAsia" w:ascii="宋体" w:hAnsi="宋体" w:eastAsia="宋体" w:cs="宋体"/>
          <w:color w:val="auto"/>
          <w:sz w:val="21"/>
          <w:szCs w:val="21"/>
          <w:highlight w:val="none"/>
        </w:rPr>
        <w:t>一年（2026.3.29-2027.3.28</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考核实行百分制，每月考核得分≥85分为合格，60-84分为基本合格，&lt;60分为不合格；重大活动保障发生2次及以上事故，直接终止合同，并追究相关责任）。</w:t>
      </w:r>
    </w:p>
    <w:p w14:paraId="17DCFA06">
      <w:pPr>
        <w:keepNext w:val="0"/>
        <w:keepLines w:val="0"/>
        <w:pageBreakBefore w:val="0"/>
        <w:widowControl w:val="0"/>
        <w:kinsoku/>
        <w:wordWrap/>
        <w:overflowPunct/>
        <w:topLinePunct w:val="0"/>
        <w:autoSpaceDE/>
        <w:autoSpaceDN/>
        <w:bidi w:val="0"/>
        <w:adjustRightInd w:val="0"/>
        <w:snapToGrid w:val="0"/>
        <w:spacing w:line="460" w:lineRule="atLeas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2.试用期为一个月。试用期内，若维保单位的服务质量、人员配置、技术能力等未满足本需求书约定的使用需求或服务能力不足，</w:t>
      </w:r>
      <w:r>
        <w:rPr>
          <w:rFonts w:hint="eastAsia" w:ascii="宋体" w:hAnsi="宋体" w:eastAsia="宋体" w:cs="宋体"/>
          <w:color w:val="auto"/>
          <w:sz w:val="21"/>
          <w:szCs w:val="21"/>
          <w:highlight w:val="none"/>
          <w:lang w:eastAsia="zh-CN"/>
        </w:rPr>
        <w:t>盐城东方投资开发集团有限公司</w:t>
      </w:r>
      <w:r>
        <w:rPr>
          <w:rFonts w:hint="eastAsia" w:ascii="宋体" w:hAnsi="宋体" w:eastAsia="宋体" w:cs="宋体"/>
          <w:color w:val="auto"/>
          <w:sz w:val="21"/>
          <w:szCs w:val="21"/>
          <w:highlight w:val="none"/>
        </w:rPr>
        <w:t>有权将其清退，且无需支付任何服务费，维保单位需在清退通知下达后3个工作日内完成所有服务交接工作，不得影响会展中心正常运营。</w:t>
      </w:r>
    </w:p>
    <w:p w14:paraId="5EC441C2">
      <w:pPr>
        <w:keepNext w:val="0"/>
        <w:keepLines w:val="0"/>
        <w:pageBreakBefore w:val="0"/>
        <w:widowControl w:val="0"/>
        <w:kinsoku/>
        <w:wordWrap/>
        <w:overflowPunct/>
        <w:topLinePunct w:val="0"/>
        <w:autoSpaceDE/>
        <w:autoSpaceDN/>
        <w:bidi w:val="0"/>
        <w:adjustRightInd w:val="0"/>
        <w:snapToGrid w:val="0"/>
        <w:spacing w:line="460" w:lineRule="atLeast"/>
        <w:jc w:val="left"/>
        <w:textAlignment w:val="auto"/>
        <w:outlineLvl w:val="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三、人员配置要求</w:t>
      </w:r>
    </w:p>
    <w:p w14:paraId="1A7B0C9F">
      <w:pPr>
        <w:keepNext w:val="0"/>
        <w:keepLines w:val="0"/>
        <w:pageBreakBefore w:val="0"/>
        <w:widowControl w:val="0"/>
        <w:kinsoku/>
        <w:wordWrap/>
        <w:overflowPunct/>
        <w:topLinePunct w:val="0"/>
        <w:autoSpaceDE/>
        <w:autoSpaceDN/>
        <w:bidi w:val="0"/>
        <w:adjustRightInd w:val="0"/>
        <w:snapToGrid w:val="0"/>
        <w:spacing w:line="460" w:lineRule="atLeast"/>
        <w:jc w:val="left"/>
        <w:textAlignment w:val="auto"/>
        <w:outlineLvl w:val="0"/>
        <w:rPr>
          <w:rFonts w:hint="default" w:ascii="宋体" w:hAnsi="宋体" w:eastAsia="宋体" w:cs="宋体"/>
          <w:b/>
          <w:color w:val="auto"/>
          <w:sz w:val="21"/>
          <w:szCs w:val="21"/>
          <w:highlight w:val="none"/>
          <w:lang w:val="en-US" w:eastAsia="zh-CN"/>
        </w:rPr>
      </w:pPr>
      <w:r>
        <w:rPr>
          <w:rFonts w:hint="eastAsia" w:ascii="宋体" w:hAnsi="宋体" w:eastAsia="宋体" w:cs="宋体"/>
          <w:b/>
          <w:color w:val="auto"/>
          <w:sz w:val="21"/>
          <w:szCs w:val="21"/>
          <w:highlight w:val="none"/>
          <w:lang w:eastAsia="zh-CN"/>
        </w:rPr>
        <w:t>（</w:t>
      </w:r>
      <w:r>
        <w:rPr>
          <w:rFonts w:hint="eastAsia" w:ascii="宋体" w:hAnsi="宋体" w:eastAsia="宋体" w:cs="宋体"/>
          <w:b/>
          <w:color w:val="auto"/>
          <w:sz w:val="21"/>
          <w:szCs w:val="21"/>
          <w:highlight w:val="none"/>
          <w:lang w:val="en-US" w:eastAsia="zh-CN"/>
        </w:rPr>
        <w:t>一）会议保障服务负责人</w:t>
      </w:r>
    </w:p>
    <w:p w14:paraId="018D13A3">
      <w:pPr>
        <w:keepNext w:val="0"/>
        <w:keepLines w:val="0"/>
        <w:pageBreakBefore w:val="0"/>
        <w:widowControl w:val="0"/>
        <w:kinsoku/>
        <w:wordWrap/>
        <w:overflowPunct/>
        <w:topLinePunct w:val="0"/>
        <w:autoSpaceDE/>
        <w:autoSpaceDN/>
        <w:bidi w:val="0"/>
        <w:adjustRightInd w:val="0"/>
        <w:snapToGrid w:val="0"/>
        <w:spacing w:line="460" w:lineRule="atLeas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需配备1名专职</w:t>
      </w:r>
      <w:r>
        <w:rPr>
          <w:rFonts w:hint="eastAsia" w:ascii="宋体" w:hAnsi="宋体" w:eastAsia="宋体" w:cs="宋体"/>
          <w:color w:val="auto"/>
          <w:sz w:val="21"/>
          <w:szCs w:val="21"/>
          <w:highlight w:val="none"/>
          <w:lang w:val="en-US" w:eastAsia="zh-CN"/>
        </w:rPr>
        <w:t>会议保障服务</w:t>
      </w:r>
      <w:r>
        <w:rPr>
          <w:rFonts w:hint="eastAsia" w:ascii="宋体" w:hAnsi="宋体" w:eastAsia="宋体" w:cs="宋体"/>
          <w:color w:val="auto"/>
          <w:sz w:val="21"/>
          <w:szCs w:val="21"/>
          <w:highlight w:val="none"/>
        </w:rPr>
        <w:t>负责人，全面统筹</w:t>
      </w:r>
      <w:r>
        <w:rPr>
          <w:rFonts w:hint="eastAsia" w:ascii="宋体" w:hAnsi="宋体" w:eastAsia="宋体" w:cs="宋体"/>
          <w:color w:val="auto"/>
          <w:sz w:val="21"/>
          <w:szCs w:val="21"/>
          <w:highlight w:val="none"/>
          <w:lang w:val="en-US" w:eastAsia="zh-CN"/>
        </w:rPr>
        <w:t>会议服务</w:t>
      </w:r>
      <w:r>
        <w:rPr>
          <w:rFonts w:hint="eastAsia" w:ascii="宋体" w:hAnsi="宋体" w:eastAsia="宋体" w:cs="宋体"/>
          <w:color w:val="auto"/>
          <w:sz w:val="21"/>
          <w:szCs w:val="21"/>
          <w:highlight w:val="none"/>
        </w:rPr>
        <w:t>各项工作，包括人员调度、服务质量管控、故障应急处置、与东拓公司的沟通对接等。</w:t>
      </w:r>
    </w:p>
    <w:p w14:paraId="083EC5C9">
      <w:pPr>
        <w:keepNext w:val="0"/>
        <w:keepLines w:val="0"/>
        <w:pageBreakBefore w:val="0"/>
        <w:widowControl w:val="0"/>
        <w:kinsoku/>
        <w:wordWrap/>
        <w:overflowPunct/>
        <w:topLinePunct w:val="0"/>
        <w:autoSpaceDE/>
        <w:autoSpaceDN/>
        <w:bidi w:val="0"/>
        <w:adjustRightInd w:val="0"/>
        <w:snapToGrid w:val="0"/>
        <w:spacing w:line="460" w:lineRule="atLeas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会议</w:t>
      </w:r>
      <w:r>
        <w:rPr>
          <w:rFonts w:hint="eastAsia" w:ascii="宋体" w:hAnsi="宋体" w:eastAsia="宋体" w:cs="宋体"/>
          <w:color w:val="auto"/>
          <w:sz w:val="21"/>
          <w:szCs w:val="21"/>
          <w:highlight w:val="none"/>
        </w:rPr>
        <w:t>负责人需具备音响工程师及以上职称证书或专业音响考试合格证书（证书需由中国演艺设备技术协会或人力资源和社会保障部门颁发，其他机构不予认可），具备弱电智能化及会议服务相关专业背景，从业经验不少于3年（年限证明以证书发证日期距投标截止日计）。</w:t>
      </w:r>
    </w:p>
    <w:p w14:paraId="52C76665">
      <w:pPr>
        <w:keepNext w:val="0"/>
        <w:keepLines w:val="0"/>
        <w:pageBreakBefore w:val="0"/>
        <w:widowControl w:val="0"/>
        <w:kinsoku/>
        <w:wordWrap/>
        <w:overflowPunct/>
        <w:topLinePunct w:val="0"/>
        <w:autoSpaceDE/>
        <w:autoSpaceDN/>
        <w:bidi w:val="0"/>
        <w:adjustRightInd w:val="0"/>
        <w:snapToGrid w:val="0"/>
        <w:spacing w:line="460" w:lineRule="atLeas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.熟练掌握弱电智能化系统原理、会议设备（含调音台、大屏播放软件、灯光设备等）操作及维护技能，具备较强的团队管理能力、应急处置能力和沟通协调能力。</w:t>
      </w:r>
    </w:p>
    <w:p w14:paraId="5D7ACE96">
      <w:pPr>
        <w:keepNext w:val="0"/>
        <w:keepLines w:val="0"/>
        <w:pageBreakBefore w:val="0"/>
        <w:widowControl w:val="0"/>
        <w:kinsoku/>
        <w:wordWrap/>
        <w:overflowPunct/>
        <w:topLinePunct w:val="0"/>
        <w:autoSpaceDE/>
        <w:autoSpaceDN/>
        <w:bidi w:val="0"/>
        <w:adjustRightInd w:val="0"/>
        <w:snapToGrid w:val="0"/>
        <w:spacing w:line="460" w:lineRule="atLeas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.无违法违规记录，身体健康，能全程跟进大型活动及重要会议的服务保障工作，确保服务顺利推进。</w:t>
      </w:r>
    </w:p>
    <w:p w14:paraId="17FE88BE">
      <w:pPr>
        <w:keepNext w:val="0"/>
        <w:keepLines w:val="0"/>
        <w:pageBreakBefore w:val="0"/>
        <w:widowControl w:val="0"/>
        <w:kinsoku/>
        <w:wordWrap/>
        <w:overflowPunct/>
        <w:topLinePunct w:val="0"/>
        <w:autoSpaceDE/>
        <w:autoSpaceDN/>
        <w:bidi w:val="0"/>
        <w:adjustRightInd w:val="0"/>
        <w:snapToGrid w:val="0"/>
        <w:spacing w:line="460" w:lineRule="atLeast"/>
        <w:jc w:val="left"/>
        <w:textAlignment w:val="auto"/>
        <w:outlineLvl w:val="1"/>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w:t>
      </w:r>
      <w:r>
        <w:rPr>
          <w:rFonts w:hint="eastAsia" w:ascii="宋体" w:hAnsi="宋体" w:eastAsia="宋体" w:cs="宋体"/>
          <w:b/>
          <w:color w:val="auto"/>
          <w:sz w:val="21"/>
          <w:szCs w:val="21"/>
          <w:highlight w:val="none"/>
          <w:lang w:val="en-US" w:eastAsia="zh-CN"/>
        </w:rPr>
        <w:t>二</w:t>
      </w:r>
      <w:r>
        <w:rPr>
          <w:rFonts w:hint="eastAsia" w:ascii="宋体" w:hAnsi="宋体" w:eastAsia="宋体" w:cs="宋体"/>
          <w:b/>
          <w:color w:val="auto"/>
          <w:sz w:val="21"/>
          <w:szCs w:val="21"/>
          <w:highlight w:val="none"/>
        </w:rPr>
        <w:t>）基础驻场人员</w:t>
      </w:r>
    </w:p>
    <w:p w14:paraId="6528816B">
      <w:pPr>
        <w:keepNext w:val="0"/>
        <w:keepLines w:val="0"/>
        <w:pageBreakBefore w:val="0"/>
        <w:widowControl w:val="0"/>
        <w:kinsoku/>
        <w:wordWrap/>
        <w:overflowPunct/>
        <w:topLinePunct w:val="0"/>
        <w:autoSpaceDE/>
        <w:autoSpaceDN/>
        <w:bidi w:val="0"/>
        <w:adjustRightInd w:val="0"/>
        <w:snapToGrid w:val="0"/>
        <w:spacing w:line="460" w:lineRule="atLeas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要求配备1名专职常驻维保人员，常驻人员需全程在岗（遵循东拓公司正常工作时间，含节假日值班安排），负责日常全馆（含改扩建10万平方米、老馆4.2万平方米区域）弱电系统巡检、故障排查、设备维护、数据记录等基础工作，同时兼顾安保指挥中心日常设备值守与状态监测。常驻人员需具备以下资质及能力：</w:t>
      </w:r>
    </w:p>
    <w:p w14:paraId="09E1E861">
      <w:pPr>
        <w:keepNext w:val="0"/>
        <w:keepLines w:val="0"/>
        <w:pageBreakBefore w:val="0"/>
        <w:widowControl w:val="0"/>
        <w:kinsoku/>
        <w:wordWrap/>
        <w:overflowPunct/>
        <w:topLinePunct w:val="0"/>
        <w:autoSpaceDE/>
        <w:autoSpaceDN/>
        <w:bidi w:val="0"/>
        <w:adjustRightInd w:val="0"/>
        <w:snapToGrid w:val="0"/>
        <w:spacing w:line="460" w:lineRule="atLeast"/>
        <w:ind w:firstLine="420" w:firstLineChars="200"/>
        <w:jc w:val="left"/>
        <w:textAlignment w:val="auto"/>
        <w:outlineLvl w:val="2"/>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1.具备弱电智能化相关专业背景，从业经验不少于3年；</w:t>
      </w:r>
    </w:p>
    <w:p w14:paraId="15607E72">
      <w:pPr>
        <w:keepNext w:val="0"/>
        <w:keepLines w:val="0"/>
        <w:pageBreakBefore w:val="0"/>
        <w:widowControl w:val="0"/>
        <w:kinsoku/>
        <w:wordWrap/>
        <w:overflowPunct/>
        <w:topLinePunct w:val="0"/>
        <w:autoSpaceDE/>
        <w:autoSpaceDN/>
        <w:bidi w:val="0"/>
        <w:adjustRightInd w:val="0"/>
        <w:snapToGrid w:val="0"/>
        <w:spacing w:line="460" w:lineRule="atLeast"/>
        <w:ind w:firstLine="420" w:firstLineChars="200"/>
        <w:jc w:val="left"/>
        <w:textAlignment w:val="auto"/>
        <w:outlineLvl w:val="2"/>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2.熟练掌握网络设备、大屏系统、弱电线路等设备的原理及维护技能，能独立处理常见故障；</w:t>
      </w:r>
    </w:p>
    <w:p w14:paraId="6A44CC9B">
      <w:pPr>
        <w:keepNext w:val="0"/>
        <w:keepLines w:val="0"/>
        <w:pageBreakBefore w:val="0"/>
        <w:widowControl w:val="0"/>
        <w:kinsoku/>
        <w:wordWrap/>
        <w:overflowPunct/>
        <w:topLinePunct w:val="0"/>
        <w:autoSpaceDE/>
        <w:autoSpaceDN/>
        <w:bidi w:val="0"/>
        <w:adjustRightInd w:val="0"/>
        <w:snapToGrid w:val="0"/>
        <w:spacing w:line="460" w:lineRule="atLeast"/>
        <w:ind w:firstLine="420" w:firstLineChars="200"/>
        <w:jc w:val="left"/>
        <w:textAlignment w:val="auto"/>
        <w:outlineLvl w:val="2"/>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3.具备良好的沟通协调能力、应急处置能力，服从东拓公司及项目负责人管理，遵守各项规章制度；</w:t>
      </w:r>
    </w:p>
    <w:p w14:paraId="1DA5DAE2">
      <w:pPr>
        <w:keepNext w:val="0"/>
        <w:keepLines w:val="0"/>
        <w:pageBreakBefore w:val="0"/>
        <w:widowControl w:val="0"/>
        <w:kinsoku/>
        <w:wordWrap/>
        <w:overflowPunct/>
        <w:topLinePunct w:val="0"/>
        <w:autoSpaceDE/>
        <w:autoSpaceDN/>
        <w:bidi w:val="0"/>
        <w:adjustRightInd w:val="0"/>
        <w:snapToGrid w:val="0"/>
        <w:spacing w:line="460" w:lineRule="atLeast"/>
        <w:ind w:firstLine="420" w:firstLineChars="200"/>
        <w:jc w:val="left"/>
        <w:textAlignment w:val="auto"/>
        <w:outlineLvl w:val="2"/>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4.无违法违规记录，身体健康，能适应加班及应急值守工作。</w:t>
      </w:r>
    </w:p>
    <w:p w14:paraId="647052B4">
      <w:pPr>
        <w:keepNext w:val="0"/>
        <w:keepLines w:val="0"/>
        <w:pageBreakBefore w:val="0"/>
        <w:widowControl w:val="0"/>
        <w:kinsoku/>
        <w:wordWrap/>
        <w:overflowPunct/>
        <w:topLinePunct w:val="0"/>
        <w:autoSpaceDE/>
        <w:autoSpaceDN/>
        <w:bidi w:val="0"/>
        <w:adjustRightInd w:val="0"/>
        <w:snapToGrid w:val="0"/>
        <w:spacing w:line="460" w:lineRule="atLeast"/>
        <w:jc w:val="left"/>
        <w:textAlignment w:val="auto"/>
        <w:outlineLvl w:val="1"/>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w:t>
      </w:r>
      <w:r>
        <w:rPr>
          <w:rFonts w:hint="eastAsia" w:ascii="宋体" w:hAnsi="宋体" w:eastAsia="宋体" w:cs="宋体"/>
          <w:b/>
          <w:color w:val="auto"/>
          <w:sz w:val="21"/>
          <w:szCs w:val="21"/>
          <w:highlight w:val="none"/>
          <w:lang w:val="en-US" w:eastAsia="zh-CN"/>
        </w:rPr>
        <w:t>三</w:t>
      </w:r>
      <w:r>
        <w:rPr>
          <w:rFonts w:hint="eastAsia" w:ascii="宋体" w:hAnsi="宋体" w:eastAsia="宋体" w:cs="宋体"/>
          <w:b/>
          <w:color w:val="auto"/>
          <w:sz w:val="21"/>
          <w:szCs w:val="21"/>
          <w:highlight w:val="none"/>
        </w:rPr>
        <w:t>）活动期间增配人员</w:t>
      </w:r>
    </w:p>
    <w:p w14:paraId="021FDE3B">
      <w:pPr>
        <w:keepNext w:val="0"/>
        <w:keepLines w:val="0"/>
        <w:pageBreakBefore w:val="0"/>
        <w:widowControl w:val="0"/>
        <w:kinsoku/>
        <w:wordWrap/>
        <w:overflowPunct/>
        <w:topLinePunct w:val="0"/>
        <w:autoSpaceDE/>
        <w:autoSpaceDN/>
        <w:bidi w:val="0"/>
        <w:adjustRightInd w:val="0"/>
        <w:snapToGrid w:val="0"/>
        <w:spacing w:line="460" w:lineRule="atLeas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常规活动期间：在1名常驻人员基础上，额外增配1名维保人员驻场配合。增配人员需分工值守关键点位，其中1人驻守活动现场（含展厅、会议区等活动核心区域），协同常驻人员做好现场设备实时监测、故障快速响应；1人值守安保指挥中心，保障指挥中心内弱电设备（监控平台、广播系统、五方对讲终端等）稳定运行，活动结束后共同完成全区域设备复位、巡检及状态汇总。</w:t>
      </w:r>
    </w:p>
    <w:p w14:paraId="6E25190E">
      <w:pPr>
        <w:keepNext w:val="0"/>
        <w:keepLines w:val="0"/>
        <w:pageBreakBefore w:val="0"/>
        <w:widowControl w:val="0"/>
        <w:kinsoku/>
        <w:wordWrap/>
        <w:overflowPunct/>
        <w:topLinePunct w:val="0"/>
        <w:autoSpaceDE/>
        <w:autoSpaceDN/>
        <w:bidi w:val="0"/>
        <w:adjustRightInd w:val="0"/>
        <w:snapToGrid w:val="0"/>
        <w:spacing w:line="460" w:lineRule="atLeas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大型活动及重要会议期间：在1名常驻人员基础上，额外增配2名维保人员驻场配合，形成3人值守团队，明确点位分工。1人专职驻守活动现场核心区域（主舞台、贵宾区、关键展厅），全程跟进音视频、灯光联动设备；1人固定值守安保指挥中心，负责监控系统、应急广播、智能管控平台等核心设备的24小时不间断监测，及时同步故障信息；常驻人员统筹全局，巡查全馆薄弱点位，协调现场与指挥中心的维保工作，提前24小时完成系统全面排查、调试，活动结束后完成系统复盘及问题整改跟踪。</w:t>
      </w:r>
    </w:p>
    <w:p w14:paraId="3C859962">
      <w:pPr>
        <w:keepNext w:val="0"/>
        <w:keepLines w:val="0"/>
        <w:pageBreakBefore w:val="0"/>
        <w:widowControl w:val="0"/>
        <w:kinsoku/>
        <w:wordWrap/>
        <w:overflowPunct/>
        <w:topLinePunct w:val="0"/>
        <w:autoSpaceDE/>
        <w:autoSpaceDN/>
        <w:bidi w:val="0"/>
        <w:adjustRightInd w:val="0"/>
        <w:snapToGrid w:val="0"/>
        <w:spacing w:line="460" w:lineRule="atLeast"/>
        <w:jc w:val="left"/>
        <w:textAlignment w:val="auto"/>
        <w:outlineLvl w:val="1"/>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w:t>
      </w:r>
      <w:r>
        <w:rPr>
          <w:rFonts w:hint="eastAsia" w:ascii="宋体" w:hAnsi="宋体" w:eastAsia="宋体" w:cs="宋体"/>
          <w:b/>
          <w:color w:val="auto"/>
          <w:sz w:val="21"/>
          <w:szCs w:val="21"/>
          <w:highlight w:val="none"/>
          <w:lang w:val="en-US" w:eastAsia="zh-CN"/>
        </w:rPr>
        <w:t>四</w:t>
      </w:r>
      <w:r>
        <w:rPr>
          <w:rFonts w:hint="eastAsia" w:ascii="宋体" w:hAnsi="宋体" w:eastAsia="宋体" w:cs="宋体"/>
          <w:b/>
          <w:color w:val="auto"/>
          <w:sz w:val="21"/>
          <w:szCs w:val="21"/>
          <w:highlight w:val="none"/>
        </w:rPr>
        <w:t>）会议服务保障专项人员配置</w:t>
      </w:r>
    </w:p>
    <w:p w14:paraId="02DB5E63">
      <w:pPr>
        <w:keepNext w:val="0"/>
        <w:keepLines w:val="0"/>
        <w:pageBreakBefore w:val="0"/>
        <w:widowControl w:val="0"/>
        <w:kinsoku/>
        <w:wordWrap/>
        <w:overflowPunct/>
        <w:topLinePunct w:val="0"/>
        <w:autoSpaceDE/>
        <w:autoSpaceDN/>
        <w:bidi w:val="0"/>
        <w:adjustRightInd w:val="0"/>
        <w:snapToGrid w:val="0"/>
        <w:spacing w:line="460" w:lineRule="atLeas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1.一般需求会议：需增配2名专业会议服务保障人员，负责会议期间音视频设备、大屏显示等基础保障工作，确保会议正常进行。</w:t>
      </w:r>
    </w:p>
    <w:p w14:paraId="7646B1EC">
      <w:pPr>
        <w:keepNext w:val="0"/>
        <w:keepLines w:val="0"/>
        <w:pageBreakBefore w:val="0"/>
        <w:widowControl w:val="0"/>
        <w:kinsoku/>
        <w:wordWrap/>
        <w:overflowPunct/>
        <w:topLinePunct w:val="0"/>
        <w:autoSpaceDE/>
        <w:autoSpaceDN/>
        <w:bidi w:val="0"/>
        <w:adjustRightInd w:val="0"/>
        <w:snapToGrid w:val="0"/>
        <w:spacing w:line="460" w:lineRule="atLeas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2.操控型会议：需增配3名专业会议服务保障人员，其中1人负责灯光调控，1人负责音箱及调音台操作，1人专职配合电视台媒体等信号转播工作，保障会议各类信号传输、设备联动顺畅。</w:t>
      </w:r>
    </w:p>
    <w:p w14:paraId="1F355F38">
      <w:pPr>
        <w:keepNext w:val="0"/>
        <w:keepLines w:val="0"/>
        <w:pageBreakBefore w:val="0"/>
        <w:widowControl w:val="0"/>
        <w:kinsoku/>
        <w:wordWrap/>
        <w:overflowPunct/>
        <w:topLinePunct w:val="0"/>
        <w:autoSpaceDE/>
        <w:autoSpaceDN/>
        <w:bidi w:val="0"/>
        <w:adjustRightInd w:val="0"/>
        <w:snapToGrid w:val="0"/>
        <w:spacing w:line="460" w:lineRule="atLeas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3.人员资质要求：所有会议服务保障人员必须熟悉各类调音台（如Midas M32、YAMAHA TF5等）的操作与调试；熟悉大屏相关播放软硬件，包括诺瓦C系列、D系列、H系列等设备使用，掌握Hirender、Kommander T0、Millumin4等软件操作使用；熟悉灯光相关设备如老虎灯光控制台，能快速处理播放过程中的各类故障，确保会议期间设备稳定运行。</w:t>
      </w:r>
    </w:p>
    <w:p w14:paraId="42F670C2">
      <w:pPr>
        <w:keepNext w:val="0"/>
        <w:keepLines w:val="0"/>
        <w:pageBreakBefore w:val="0"/>
        <w:widowControl w:val="0"/>
        <w:kinsoku/>
        <w:wordWrap/>
        <w:overflowPunct/>
        <w:topLinePunct w:val="0"/>
        <w:autoSpaceDE/>
        <w:autoSpaceDN/>
        <w:bidi w:val="0"/>
        <w:adjustRightInd w:val="0"/>
        <w:snapToGrid w:val="0"/>
        <w:spacing w:line="460" w:lineRule="atLeas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注：常规活动、大型活动、重要会议及会议类型（一般需求会议、操控型会议）的界定由东拓公司提前书面或口头通知维保单位，维保单位需在接到通知后24小时内完成增配人员调配到位，明确各点位值守人员职责并报备东拓公司。所有维保人员及会议服务保障人员更换需提前7个工作日书面告知东拓公司，经同意后方可更换，项目负责人更换需提前15个工作日书面告知东拓公司并提供新任负责人资质证明，经审核同意后方可更换，确保活动现场、安保指挥中心及会议现场等关键点位值守不中断、服务连续性不受影响。</w:t>
      </w:r>
    </w:p>
    <w:p w14:paraId="10C9C9B3">
      <w:pPr>
        <w:keepNext w:val="0"/>
        <w:keepLines w:val="0"/>
        <w:pageBreakBefore w:val="0"/>
        <w:widowControl w:val="0"/>
        <w:kinsoku/>
        <w:wordWrap/>
        <w:overflowPunct/>
        <w:topLinePunct w:val="0"/>
        <w:autoSpaceDE/>
        <w:autoSpaceDN/>
        <w:bidi w:val="0"/>
        <w:adjustRightInd w:val="0"/>
        <w:snapToGrid w:val="0"/>
        <w:spacing w:line="460" w:lineRule="atLeast"/>
        <w:jc w:val="left"/>
        <w:textAlignment w:val="auto"/>
        <w:outlineLvl w:val="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四、服务范围及内容</w:t>
      </w:r>
    </w:p>
    <w:p w14:paraId="1033046B">
      <w:pPr>
        <w:keepNext w:val="0"/>
        <w:keepLines w:val="0"/>
        <w:pageBreakBefore w:val="0"/>
        <w:widowControl w:val="0"/>
        <w:kinsoku/>
        <w:wordWrap/>
        <w:overflowPunct/>
        <w:topLinePunct w:val="0"/>
        <w:autoSpaceDE/>
        <w:autoSpaceDN/>
        <w:bidi w:val="0"/>
        <w:adjustRightInd w:val="0"/>
        <w:snapToGrid w:val="0"/>
        <w:spacing w:line="460" w:lineRule="atLeast"/>
        <w:jc w:val="left"/>
        <w:textAlignment w:val="auto"/>
        <w:outlineLvl w:val="1"/>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（一）弱电智能化设备及线路</w:t>
      </w:r>
    </w:p>
    <w:p w14:paraId="2C9506A1">
      <w:pPr>
        <w:keepNext w:val="0"/>
        <w:keepLines w:val="0"/>
        <w:pageBreakBefore w:val="0"/>
        <w:widowControl w:val="0"/>
        <w:kinsoku/>
        <w:wordWrap/>
        <w:overflowPunct/>
        <w:topLinePunct w:val="0"/>
        <w:autoSpaceDE/>
        <w:autoSpaceDN/>
        <w:bidi w:val="0"/>
        <w:adjustRightInd w:val="0"/>
        <w:snapToGrid w:val="0"/>
        <w:spacing w:line="460" w:lineRule="atLeas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涵盖会展中心改扩建工程中安装的所有弱电智能化系统及设备，包括综合有线系统、计算机网络系统、背景音乐及广播系统、视频监控系统、门禁考勤系统、会议系统、停车场管理系统、弱电机房设备、五方对讲系统、综合管网系统、智能管控平台及配套服务器、智能卡应用系统、冷通道空调相关设备等，结合设备清单细化维保要求如下：</w:t>
      </w:r>
    </w:p>
    <w:p w14:paraId="5A847E08">
      <w:pPr>
        <w:keepNext w:val="0"/>
        <w:keepLines w:val="0"/>
        <w:pageBreakBefore w:val="0"/>
        <w:widowControl w:val="0"/>
        <w:kinsoku/>
        <w:wordWrap/>
        <w:overflowPunct/>
        <w:topLinePunct w:val="0"/>
        <w:autoSpaceDE/>
        <w:autoSpaceDN/>
        <w:bidi w:val="0"/>
        <w:adjustRightInd w:val="0"/>
        <w:snapToGrid w:val="0"/>
        <w:spacing w:line="460" w:lineRule="atLeast"/>
        <w:jc w:val="left"/>
        <w:textAlignment w:val="auto"/>
        <w:outlineLvl w:val="2"/>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1. 综合有线系统</w:t>
      </w:r>
    </w:p>
    <w:p w14:paraId="6E4D3143">
      <w:pPr>
        <w:keepNext w:val="0"/>
        <w:keepLines w:val="0"/>
        <w:pageBreakBefore w:val="0"/>
        <w:widowControl w:val="0"/>
        <w:kinsoku/>
        <w:wordWrap/>
        <w:overflowPunct/>
        <w:topLinePunct w:val="0"/>
        <w:autoSpaceDE/>
        <w:autoSpaceDN/>
        <w:bidi w:val="0"/>
        <w:adjustRightInd w:val="0"/>
        <w:snapToGrid w:val="0"/>
        <w:spacing w:line="460" w:lineRule="atLeas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针对清单中六类UTP电缆、理线架、配线架、光纤跳线、信息插座等设备，制定专项维保要求：</w:t>
      </w:r>
    </w:p>
    <w:p w14:paraId="010EAD14">
      <w:pPr>
        <w:keepNext w:val="0"/>
        <w:keepLines w:val="0"/>
        <w:pageBreakBefore w:val="0"/>
        <w:widowControl w:val="0"/>
        <w:numPr>
          <w:ilvl w:val="0"/>
          <w:numId w:val="79"/>
        </w:numPr>
        <w:kinsoku/>
        <w:wordWrap/>
        <w:overflowPunct/>
        <w:topLinePunct w:val="0"/>
        <w:autoSpaceDE/>
        <w:autoSpaceDN/>
        <w:bidi w:val="0"/>
        <w:adjustRightInd w:val="0"/>
        <w:snapToGrid w:val="0"/>
        <w:spacing w:line="460" w:lineRule="atLeas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六类4对UTP电缆（含D</w:t>
      </w:r>
      <w:r>
        <w:rPr>
          <w:rFonts w:hint="eastAsia" w:ascii="宋体" w:hAnsi="宋体" w:eastAsia="宋体" w:cs="宋体"/>
          <w:color w:val="auto"/>
          <w:sz w:val="21"/>
          <w:szCs w:val="21"/>
          <w:highlight w:val="none"/>
          <w:lang w:val="en-US" w:eastAsia="zh-CN"/>
        </w:rPr>
        <w:t>EF</w:t>
      </w:r>
      <w:r>
        <w:rPr>
          <w:rFonts w:hint="eastAsia" w:ascii="宋体" w:hAnsi="宋体" w:eastAsia="宋体" w:cs="宋体"/>
          <w:color w:val="auto"/>
          <w:sz w:val="21"/>
          <w:szCs w:val="21"/>
          <w:highlight w:val="none"/>
        </w:rPr>
        <w:t>馆信息网、设备网等区域，覆盖改扩建区域10万平方米）：每日巡检线路路由，排查桥架、线槽内电缆挤压、裸露、破损情况，标记磨损部位；每周测试链路连通性，采用专业仪器检测衰减、串扰参数，确保符合CAT6标准；每月整理冗余线缆，规范绑扎固定，避免拉扯受力；每季度对大工程量电缆的关键节点（弱电间、设备端）进行绝缘测试，年检测覆盖率100%，确保全馆各面积区域线路通畅；双绞线测试链路每半年全面复测一次，不合格链路24小时内整改。</w:t>
      </w:r>
    </w:p>
    <w:p w14:paraId="59176531">
      <w:pPr>
        <w:keepNext w:val="0"/>
        <w:keepLines w:val="0"/>
        <w:pageBreakBefore w:val="0"/>
        <w:widowControl w:val="0"/>
        <w:numPr>
          <w:ilvl w:val="0"/>
          <w:numId w:val="80"/>
        </w:numPr>
        <w:kinsoku/>
        <w:wordWrap/>
        <w:overflowPunct/>
        <w:topLinePunct w:val="0"/>
        <w:autoSpaceDE/>
        <w:autoSpaceDN/>
        <w:bidi w:val="0"/>
        <w:adjustRightInd w:val="0"/>
        <w:snapToGrid w:val="0"/>
        <w:spacing w:line="460" w:lineRule="atLeas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理线架（黑色）：每日检查理线架固定情况，清理表面灰尘及杂物；每周整理跳线排列，确保无缠绕、脱落，标识清晰可辨；每月检查理线架端口卡扣完好性，更换损坏卡扣；针对清单中等不同区域理线架，每季度分区统计损耗情况，形成维护台账。</w:t>
      </w:r>
    </w:p>
    <w:p w14:paraId="243E539E">
      <w:pPr>
        <w:keepNext w:val="0"/>
        <w:keepLines w:val="0"/>
        <w:pageBreakBefore w:val="0"/>
        <w:widowControl w:val="0"/>
        <w:numPr>
          <w:ilvl w:val="0"/>
          <w:numId w:val="81"/>
        </w:numPr>
        <w:kinsoku/>
        <w:wordWrap/>
        <w:overflowPunct/>
        <w:topLinePunct w:val="0"/>
        <w:autoSpaceDE/>
        <w:autoSpaceDN/>
        <w:bidi w:val="0"/>
        <w:adjustRightInd w:val="0"/>
        <w:snapToGrid w:val="0"/>
        <w:spacing w:line="460" w:lineRule="atLeas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配线架：每日查看端口指示灯状态，排查松动、氧化问题；每周测试端口插拔灵活性，清洁端口触点；每月对配线架进行端口映射核对，更新标识；每季度检测配线架接地情况，确保防雷防静电达标，避免端口浪涌损坏。</w:t>
      </w:r>
    </w:p>
    <w:p w14:paraId="373C35A6">
      <w:pPr>
        <w:keepNext w:val="0"/>
        <w:keepLines w:val="0"/>
        <w:pageBreakBefore w:val="0"/>
        <w:widowControl w:val="0"/>
        <w:numPr>
          <w:ilvl w:val="0"/>
          <w:numId w:val="82"/>
        </w:numPr>
        <w:kinsoku/>
        <w:wordWrap/>
        <w:overflowPunct/>
        <w:topLinePunct w:val="0"/>
        <w:autoSpaceDE/>
        <w:autoSpaceDN/>
        <w:bidi w:val="0"/>
        <w:adjustRightInd w:val="0"/>
        <w:snapToGrid w:val="0"/>
        <w:spacing w:line="460" w:lineRule="atLeas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光纤跳线（单模双芯万兆）：每日检查跳线连接稳定性，排查弯曲过度、拉扯现象，弯曲半径不小于光纤直径的15倍；每周清洁SC接口端面，测试光功率衰减值，确保在允许范围（≤0.5dB）内；每月对不同批次跳线进行编号核对，更换标识模糊、护套破损的跳线；每季度对光纤链路进行OTDR测试，排查熔接损耗、光纤断裂隐患，备份测试数据。</w:t>
      </w:r>
    </w:p>
    <w:p w14:paraId="3FFDF10B">
      <w:pPr>
        <w:keepNext w:val="0"/>
        <w:keepLines w:val="0"/>
        <w:pageBreakBefore w:val="0"/>
        <w:widowControl w:val="0"/>
        <w:numPr>
          <w:ilvl w:val="0"/>
          <w:numId w:val="83"/>
        </w:numPr>
        <w:kinsoku/>
        <w:wordWrap/>
        <w:overflowPunct/>
        <w:topLinePunct w:val="0"/>
        <w:autoSpaceDE/>
        <w:autoSpaceDN/>
        <w:bidi w:val="0"/>
        <w:adjustRightInd w:val="0"/>
        <w:snapToGrid w:val="0"/>
        <w:spacing w:line="460" w:lineRule="atLeas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信息插座（六类RJ45）：每日测试插座插拔松紧度，避免接触不良；每周清洁插座面板，排查松动、脱落情况；每月对插座进行通电测试，确保接线规范（T568B标准）；每季度更换老化面板、损坏模块，统计各区域插座故障率，优化维护重点。</w:t>
      </w:r>
    </w:p>
    <w:p w14:paraId="082E9476">
      <w:pPr>
        <w:keepNext w:val="0"/>
        <w:keepLines w:val="0"/>
        <w:pageBreakBefore w:val="0"/>
        <w:widowControl w:val="0"/>
        <w:numPr>
          <w:ilvl w:val="0"/>
          <w:numId w:val="84"/>
        </w:numPr>
        <w:kinsoku/>
        <w:wordWrap/>
        <w:overflowPunct/>
        <w:topLinePunct w:val="0"/>
        <w:autoSpaceDE/>
        <w:autoSpaceDN/>
        <w:bidi w:val="0"/>
        <w:adjustRightInd w:val="0"/>
        <w:snapToGrid w:val="0"/>
        <w:spacing w:line="460" w:lineRule="atLeas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RJ45-RJ45跳线：每日检查跳线外观，排查护套开裂、水晶头松动问题；每周测试跳线连通性，对批量跳线进行抽样检测（抽样比例不低于10%）；每月更换损坏跳线，备用跳线储备量不低于总用量的5%；活动期间提前检查专用跳线（如蓝色2m跳线），确保满足临时扩容需求。</w:t>
      </w:r>
    </w:p>
    <w:p w14:paraId="4950110E">
      <w:pPr>
        <w:keepNext w:val="0"/>
        <w:keepLines w:val="0"/>
        <w:pageBreakBefore w:val="0"/>
        <w:widowControl w:val="0"/>
        <w:numPr>
          <w:ilvl w:val="0"/>
          <w:numId w:val="84"/>
        </w:numPr>
        <w:kinsoku/>
        <w:wordWrap/>
        <w:overflowPunct/>
        <w:topLinePunct w:val="0"/>
        <w:autoSpaceDE/>
        <w:autoSpaceDN/>
        <w:bidi w:val="0"/>
        <w:adjustRightInd w:val="0"/>
        <w:snapToGrid w:val="0"/>
        <w:spacing w:line="460" w:lineRule="atLeas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服务周期内提供至少一次全馆范围内（含机房、弱电设备间、操作间等）机柜设备、桌面电脑及服务器等设施设备清洗除尘服务，确保设备散热正常。</w:t>
      </w:r>
    </w:p>
    <w:p w14:paraId="395070AF">
      <w:pPr>
        <w:keepNext w:val="0"/>
        <w:keepLines w:val="0"/>
        <w:pageBreakBefore w:val="0"/>
        <w:widowControl w:val="0"/>
        <w:kinsoku/>
        <w:wordWrap/>
        <w:overflowPunct/>
        <w:topLinePunct w:val="0"/>
        <w:autoSpaceDE/>
        <w:autoSpaceDN/>
        <w:bidi w:val="0"/>
        <w:adjustRightInd w:val="0"/>
        <w:snapToGrid w:val="0"/>
        <w:spacing w:line="460" w:lineRule="atLeast"/>
        <w:jc w:val="left"/>
        <w:textAlignment w:val="auto"/>
        <w:outlineLvl w:val="2"/>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2. 计算机网络系统</w:t>
      </w:r>
    </w:p>
    <w:p w14:paraId="5613CC04">
      <w:pPr>
        <w:keepNext w:val="0"/>
        <w:keepLines w:val="0"/>
        <w:pageBreakBefore w:val="0"/>
        <w:widowControl w:val="0"/>
        <w:kinsoku/>
        <w:wordWrap/>
        <w:overflowPunct/>
        <w:topLinePunct w:val="0"/>
        <w:autoSpaceDE/>
        <w:autoSpaceDN/>
        <w:bidi w:val="0"/>
        <w:adjustRightInd w:val="0"/>
        <w:snapToGrid w:val="0"/>
        <w:spacing w:line="460" w:lineRule="atLeas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针对清单中交换机、光模块、电源模块、网络控制器、防火墙等设备，细化维保要求：</w:t>
      </w:r>
    </w:p>
    <w:p w14:paraId="30E433A3">
      <w:pPr>
        <w:keepNext w:val="0"/>
        <w:keepLines w:val="0"/>
        <w:pageBreakBefore w:val="0"/>
        <w:widowControl w:val="0"/>
        <w:numPr>
          <w:ilvl w:val="0"/>
          <w:numId w:val="85"/>
        </w:numPr>
        <w:kinsoku/>
        <w:wordWrap/>
        <w:overflowPunct/>
        <w:topLinePunct w:val="0"/>
        <w:autoSpaceDE/>
        <w:autoSpaceDN/>
        <w:bidi w:val="0"/>
        <w:adjustRightInd w:val="0"/>
        <w:snapToGrid w:val="0"/>
        <w:spacing w:line="460" w:lineRule="atLeas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交换机（FV S5735-L24P4X-A2、FX S5735-L24T4X-Q42）：每日监测设备运行状态，记录CPU、内存占用率（峰值不超过70%），温度控制在18-25℃；每周检查端口流量，排查广播风暴、异常数据包，优化端口配置；每月备份设备配置文件，更新固件版本（避开业务高峰），测试冗余链路切换功能；每季度对交换机进行除尘清洁，检查风扇运行状态、电源模块稳定性，对48口交换机重点测试端口负载均衡能力；年度对所有交换机进行性能评估，提交老化设备更换建议。</w:t>
      </w:r>
    </w:p>
    <w:p w14:paraId="19C7956D">
      <w:pPr>
        <w:keepNext w:val="0"/>
        <w:keepLines w:val="0"/>
        <w:pageBreakBefore w:val="0"/>
        <w:widowControl w:val="0"/>
        <w:numPr>
          <w:ilvl w:val="0"/>
          <w:numId w:val="86"/>
        </w:numPr>
        <w:kinsoku/>
        <w:wordWrap/>
        <w:overflowPunct/>
        <w:topLinePunct w:val="0"/>
        <w:autoSpaceDE/>
        <w:autoSpaceDN/>
        <w:bidi w:val="0"/>
        <w:adjustRightInd w:val="0"/>
        <w:snapToGrid w:val="0"/>
        <w:spacing w:line="460" w:lineRule="atLeas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光模块：每日监测光模块工作状态，查看指示灯是否正常，排查过热问题；每周测试光模块收发功率，确保符合万兆传输标准；每月清洁模块接口，检查金手指磨损情况；每季度对光模块进行兼容性测试，备份模块参数，损坏模块24小时内更换。</w:t>
      </w:r>
    </w:p>
    <w:p w14:paraId="13C7B964">
      <w:pPr>
        <w:keepNext w:val="0"/>
        <w:keepLines w:val="0"/>
        <w:pageBreakBefore w:val="0"/>
        <w:widowControl w:val="0"/>
        <w:numPr>
          <w:ilvl w:val="0"/>
          <w:numId w:val="87"/>
        </w:numPr>
        <w:kinsoku/>
        <w:wordWrap/>
        <w:overflowPunct/>
        <w:topLinePunct w:val="0"/>
        <w:autoSpaceDE/>
        <w:autoSpaceDN/>
        <w:bidi w:val="0"/>
        <w:adjustRightInd w:val="0"/>
        <w:snapToGrid w:val="0"/>
        <w:spacing w:line="460" w:lineRule="atLeas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电源模块及配套设备：每日检查电源模块输入输出电压，确保稳定（220V±10%）；每周测试冗余电源切换功能，确保故障时无缝切换；每月清洁电源面板，检查散热孔通畅性；针对前后风道、侧进风设计的电源模块，每季度清理风道灰尘，测试散热效果；电源板、双电源设备每半年进行满载测试，排查供电隐患。</w:t>
      </w:r>
    </w:p>
    <w:p w14:paraId="40914861">
      <w:pPr>
        <w:keepNext w:val="0"/>
        <w:keepLines w:val="0"/>
        <w:pageBreakBefore w:val="0"/>
        <w:widowControl w:val="0"/>
        <w:numPr>
          <w:ilvl w:val="0"/>
          <w:numId w:val="88"/>
        </w:numPr>
        <w:kinsoku/>
        <w:wordWrap/>
        <w:overflowPunct/>
        <w:topLinePunct w:val="0"/>
        <w:autoSpaceDE/>
        <w:autoSpaceDN/>
        <w:bidi w:val="0"/>
        <w:adjustRightInd w:val="0"/>
        <w:snapToGrid w:val="0"/>
        <w:spacing w:line="460" w:lineRule="atLeas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PON接口板（16端口G-UNI OL1接口板）：每日监测接口板运行状态，排查端口故障告警；每周测试PON口上行带宽，确保传输稳定；每月备份接口板配置，检查光模块兼容性；每季度检测接口板接地电阻，确保防雷性能达标，避免雷击损坏。</w:t>
      </w:r>
    </w:p>
    <w:p w14:paraId="468331DF">
      <w:pPr>
        <w:keepNext w:val="0"/>
        <w:keepLines w:val="0"/>
        <w:pageBreakBefore w:val="0"/>
        <w:widowControl w:val="0"/>
        <w:numPr>
          <w:ilvl w:val="0"/>
          <w:numId w:val="89"/>
        </w:numPr>
        <w:kinsoku/>
        <w:wordWrap/>
        <w:overflowPunct/>
        <w:topLinePunct w:val="0"/>
        <w:autoSpaceDE/>
        <w:autoSpaceDN/>
        <w:bidi w:val="0"/>
        <w:adjustRightInd w:val="0"/>
        <w:snapToGrid w:val="0"/>
        <w:spacing w:line="460" w:lineRule="atLeas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无线覆盖设备：每日监测无线AP信号强度，结合会展中心各区域面积（改扩建10万平方米、老馆4.2万平方米）排查覆盖盲区、干扰问题，确保无线信号无死角覆盖；每周优化信道配置，避开同频干扰，确保信号强度≥-75dBm；每月测试无线接入成功率（≥98%），清理AP缓存；每季度对D馆无线网等区域的AP进行位置校准，根据10万平方米改扩建区域的空间布局优化AP布局，测试漫游切换流畅性，保障大面积覆盖区域的网络稳定性。</w:t>
      </w:r>
    </w:p>
    <w:p w14:paraId="12F204E8">
      <w:pPr>
        <w:keepNext w:val="0"/>
        <w:keepLines w:val="0"/>
        <w:pageBreakBefore w:val="0"/>
        <w:widowControl w:val="0"/>
        <w:numPr>
          <w:ilvl w:val="0"/>
          <w:numId w:val="90"/>
        </w:numPr>
        <w:kinsoku/>
        <w:wordWrap/>
        <w:overflowPunct/>
        <w:topLinePunct w:val="0"/>
        <w:autoSpaceDE/>
        <w:autoSpaceDN/>
        <w:bidi w:val="0"/>
        <w:adjustRightInd w:val="0"/>
        <w:snapToGrid w:val="0"/>
        <w:spacing w:line="460" w:lineRule="atLeas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防火墙等网络安全设备：</w:t>
      </w:r>
    </w:p>
    <w:p w14:paraId="3DBD9D79">
      <w:pPr>
        <w:keepNext w:val="0"/>
        <w:keepLines w:val="0"/>
        <w:pageBreakBefore w:val="0"/>
        <w:widowControl w:val="0"/>
        <w:kinsoku/>
        <w:wordWrap/>
        <w:overflowPunct/>
        <w:topLinePunct w:val="0"/>
        <w:autoSpaceDE/>
        <w:autoSpaceDN/>
        <w:bidi w:val="0"/>
        <w:adjustRightInd w:val="0"/>
        <w:snapToGrid w:val="0"/>
        <w:spacing w:line="460" w:lineRule="atLeas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软件续费：维保单位需提前30个工作日对接东拓公司，完成核心机房内相关防火墙、行为管理、核心设备等设备的软件授权续费事宜，确保软件授权不中断，保障设备安全防护功能持续有效；续费完成后3个工作日内，向东拓公司提交续费凭证及相关证明文件。</w:t>
      </w:r>
    </w:p>
    <w:p w14:paraId="4C0E998C">
      <w:pPr>
        <w:keepNext w:val="0"/>
        <w:keepLines w:val="0"/>
        <w:pageBreakBefore w:val="0"/>
        <w:widowControl w:val="0"/>
        <w:kinsoku/>
        <w:wordWrap/>
        <w:overflowPunct/>
        <w:topLinePunct w:val="0"/>
        <w:autoSpaceDE/>
        <w:autoSpaceDN/>
        <w:bidi w:val="0"/>
        <w:adjustRightInd w:val="0"/>
        <w:snapToGrid w:val="0"/>
        <w:spacing w:line="460" w:lineRule="atLeas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调试维护：每日监测防火墙运行状态，包括CPU、内存占用率，规则命中率、并发连接数等关键指标，确保设备运行稳定；每周对防火墙的安全规则进行核查，清理冗余、过期规则，优化规则配置，避免规则冲突；每月对防火墙进行漏洞扫描及安全补丁更新，确保设备抵御最新安全威胁；每季度进行一次全面的安全策略调试，包括访问控制、NAT转换、VPN连接等功能的测试与优化，模拟攻击场景进行防护有效性验证；每年对防火墙等设备进行一次全面的性能评估与压力测试，提交优化建议及潜在风险报告。</w:t>
      </w:r>
    </w:p>
    <w:p w14:paraId="6C7FE4F8">
      <w:pPr>
        <w:keepNext w:val="0"/>
        <w:keepLines w:val="0"/>
        <w:pageBreakBefore w:val="0"/>
        <w:widowControl w:val="0"/>
        <w:kinsoku/>
        <w:wordWrap/>
        <w:overflowPunct/>
        <w:topLinePunct w:val="0"/>
        <w:autoSpaceDE/>
        <w:autoSpaceDN/>
        <w:bidi w:val="0"/>
        <w:adjustRightInd w:val="0"/>
        <w:snapToGrid w:val="0"/>
        <w:spacing w:line="460" w:lineRule="atLeast"/>
        <w:jc w:val="left"/>
        <w:textAlignment w:val="auto"/>
        <w:outlineLvl w:val="2"/>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3. 背景音乐及广播系统</w:t>
      </w:r>
    </w:p>
    <w:p w14:paraId="15C2AF00">
      <w:pPr>
        <w:keepNext w:val="0"/>
        <w:keepLines w:val="0"/>
        <w:pageBreakBefore w:val="0"/>
        <w:widowControl w:val="0"/>
        <w:kinsoku/>
        <w:wordWrap/>
        <w:overflowPunct/>
        <w:topLinePunct w:val="0"/>
        <w:autoSpaceDE/>
        <w:autoSpaceDN/>
        <w:bidi w:val="0"/>
        <w:adjustRightInd w:val="0"/>
        <w:snapToGrid w:val="0"/>
        <w:spacing w:line="460" w:lineRule="atLeas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结合清单中IP网络音箱、功放、采集器、话筒等设备，明确维保标准：</w:t>
      </w:r>
    </w:p>
    <w:p w14:paraId="019BDE2B">
      <w:pPr>
        <w:keepNext w:val="0"/>
        <w:keepLines w:val="0"/>
        <w:pageBreakBefore w:val="0"/>
        <w:widowControl w:val="0"/>
        <w:numPr>
          <w:ilvl w:val="0"/>
          <w:numId w:val="91"/>
        </w:numPr>
        <w:kinsoku/>
        <w:wordWrap/>
        <w:overflowPunct/>
        <w:topLinePunct w:val="0"/>
        <w:autoSpaceDE/>
        <w:autoSpaceDN/>
        <w:bidi w:val="0"/>
        <w:adjustRightInd w:val="0"/>
        <w:snapToGrid w:val="0"/>
        <w:spacing w:line="460" w:lineRule="atLeas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IP网络音箱及终端：每日测试音箱音质，排查杂音、失真问题，确保额定功率达标；每周清洁音箱表面及喇叭单元，检查固定结构稳定性；每月测试IP终端网络连通性，更新IP地址列表，确保在线状态可监测；每季度对天花喇叭、室内音柱等设备进行声学调试，校准频率响应（100-18000Hz），确保声场均匀；紧急广播功能每月测试一次，触发响应时间≤3秒，覆盖无死角。</w:t>
      </w:r>
    </w:p>
    <w:p w14:paraId="3C977A3A">
      <w:pPr>
        <w:keepNext w:val="0"/>
        <w:keepLines w:val="0"/>
        <w:pageBreakBefore w:val="0"/>
        <w:widowControl w:val="0"/>
        <w:numPr>
          <w:ilvl w:val="0"/>
          <w:numId w:val="92"/>
        </w:numPr>
        <w:kinsoku/>
        <w:wordWrap/>
        <w:overflowPunct/>
        <w:topLinePunct w:val="0"/>
        <w:autoSpaceDE/>
        <w:autoSpaceDN/>
        <w:bidi w:val="0"/>
        <w:adjustRightInd w:val="0"/>
        <w:snapToGrid w:val="0"/>
        <w:spacing w:line="460" w:lineRule="atLeas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功放及处理设备：每日检查功放运行状态，监测输出功率、温度，避免过载；每周测试功放保护功能（过热、短路保护），清理散热片灰尘；每月对IP网络终端功放、数字处理器进行参数校准，备份配置程序；每季度测试功放冗余备份功能，确保故障时备用设备自动切换。</w:t>
      </w:r>
    </w:p>
    <w:p w14:paraId="4B091F39">
      <w:pPr>
        <w:keepNext w:val="0"/>
        <w:keepLines w:val="0"/>
        <w:pageBreakBefore w:val="0"/>
        <w:widowControl w:val="0"/>
        <w:numPr>
          <w:ilvl w:val="0"/>
          <w:numId w:val="93"/>
        </w:numPr>
        <w:kinsoku/>
        <w:wordWrap/>
        <w:overflowPunct/>
        <w:topLinePunct w:val="0"/>
        <w:autoSpaceDE/>
        <w:autoSpaceDN/>
        <w:bidi w:val="0"/>
        <w:adjustRightInd w:val="0"/>
        <w:snapToGrid w:val="0"/>
        <w:spacing w:line="460" w:lineRule="atLeas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音频采集设备（IP音频采集器）：每日检查采集器网络连接，测试音频采集灵敏度；每周清洁采集接口，排查接触不良问题；每月测试定时采样、临时采样功能，确保编码后的数字音频传输稳定；每季度校准采集器音频输入接口，确保与话筒、播放器等设备适配。</w:t>
      </w:r>
    </w:p>
    <w:p w14:paraId="599B3B81">
      <w:pPr>
        <w:keepNext w:val="0"/>
        <w:keepLines w:val="0"/>
        <w:pageBreakBefore w:val="0"/>
        <w:widowControl w:val="0"/>
        <w:numPr>
          <w:ilvl w:val="0"/>
          <w:numId w:val="94"/>
        </w:numPr>
        <w:kinsoku/>
        <w:wordWrap/>
        <w:overflowPunct/>
        <w:topLinePunct w:val="0"/>
        <w:autoSpaceDE/>
        <w:autoSpaceDN/>
        <w:bidi w:val="0"/>
        <w:adjustRightInd w:val="0"/>
        <w:snapToGrid w:val="0"/>
        <w:spacing w:line="460" w:lineRule="atLeas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话筒及辅助设备：每日检查话筒拾音效果，测试钟声提示功能、前奏音灵敏度（-50±2dB）；每周清洁话筒音头，检查卡农母头转6.25线材完整性；每月测试话筒无线传输距离，排查干扰问题；每季度对寻呼话筒、对讲终端进行功能调试，确保一键呼叫、对讲、求助功能正常。</w:t>
      </w:r>
    </w:p>
    <w:p w14:paraId="4C2F6A1D">
      <w:pPr>
        <w:keepNext w:val="0"/>
        <w:keepLines w:val="0"/>
        <w:pageBreakBefore w:val="0"/>
        <w:widowControl w:val="0"/>
        <w:numPr>
          <w:ilvl w:val="0"/>
          <w:numId w:val="95"/>
        </w:numPr>
        <w:kinsoku/>
        <w:wordWrap/>
        <w:overflowPunct/>
        <w:topLinePunct w:val="0"/>
        <w:autoSpaceDE/>
        <w:autoSpaceDN/>
        <w:bidi w:val="0"/>
        <w:adjustRightInd w:val="0"/>
        <w:snapToGrid w:val="0"/>
        <w:spacing w:line="460" w:lineRule="atLeas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播放设备（CD播放器、数字调谐器）：每日测试播放功能，排查卡顿、跳碟问题；每周清洁激光头、磁带仓，检查调频调幅接收灵敏度；每月测试音频输出接口，确保左右声道平衡；每季度对设备进行全频段播放测试，校准频率响应，备份播放列表。</w:t>
      </w:r>
    </w:p>
    <w:p w14:paraId="11D6178D">
      <w:pPr>
        <w:keepNext w:val="0"/>
        <w:keepLines w:val="0"/>
        <w:pageBreakBefore w:val="0"/>
        <w:widowControl w:val="0"/>
        <w:kinsoku/>
        <w:wordWrap/>
        <w:overflowPunct/>
        <w:topLinePunct w:val="0"/>
        <w:autoSpaceDE/>
        <w:autoSpaceDN/>
        <w:bidi w:val="0"/>
        <w:adjustRightInd w:val="0"/>
        <w:snapToGrid w:val="0"/>
        <w:spacing w:line="460" w:lineRule="atLeast"/>
        <w:jc w:val="left"/>
        <w:textAlignment w:val="auto"/>
        <w:outlineLvl w:val="2"/>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4. 视频监控系统</w:t>
      </w:r>
    </w:p>
    <w:p w14:paraId="357B3647">
      <w:pPr>
        <w:keepNext w:val="0"/>
        <w:keepLines w:val="0"/>
        <w:pageBreakBefore w:val="0"/>
        <w:widowControl w:val="0"/>
        <w:kinsoku/>
        <w:wordWrap/>
        <w:overflowPunct/>
        <w:topLinePunct w:val="0"/>
        <w:autoSpaceDE/>
        <w:autoSpaceDN/>
        <w:bidi w:val="0"/>
        <w:adjustRightInd w:val="0"/>
        <w:snapToGrid w:val="0"/>
        <w:spacing w:line="460" w:lineRule="atLeas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针对清单中红外网络摄像机、球机、硬盘录像机、解码器等设备，细化维保要求：</w:t>
      </w:r>
    </w:p>
    <w:p w14:paraId="70DC671F">
      <w:pPr>
        <w:keepNext w:val="0"/>
        <w:keepLines w:val="0"/>
        <w:pageBreakBefore w:val="0"/>
        <w:widowControl w:val="0"/>
        <w:numPr>
          <w:ilvl w:val="0"/>
          <w:numId w:val="96"/>
        </w:numPr>
        <w:kinsoku/>
        <w:wordWrap/>
        <w:overflowPunct/>
        <w:topLinePunct w:val="0"/>
        <w:autoSpaceDE/>
        <w:autoSpaceDN/>
        <w:bidi w:val="0"/>
        <w:adjustRightInd w:val="0"/>
        <w:snapToGrid w:val="0"/>
        <w:spacing w:line="460" w:lineRule="atLeas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摄像机（红外枪型、球机、人脸抓拍）：每日查看画面清晰度、色彩还原度，排查黑屏、花屏、遮挡问题；每周清洁镜头、红外补光灯，测试夜视距离（枪型≥50米，球机≥100米），校准云台转动角度（水平360°、垂直90°）；每月检查摄像机供电稳定性，排查POE供电故障，测试防水、防尘性能；每季度对摄像机进行固件升级，调整参数（曝光、白平衡），确保人脸抓拍准确率≥95%，车牌识别准确率≥99%；每半年对吊装支架进行牢固性检查，更换生锈、松动支架。</w:t>
      </w:r>
    </w:p>
    <w:p w14:paraId="2E59CADF">
      <w:pPr>
        <w:keepNext w:val="0"/>
        <w:keepLines w:val="0"/>
        <w:pageBreakBefore w:val="0"/>
        <w:widowControl w:val="0"/>
        <w:numPr>
          <w:ilvl w:val="0"/>
          <w:numId w:val="97"/>
        </w:numPr>
        <w:kinsoku/>
        <w:wordWrap/>
        <w:overflowPunct/>
        <w:topLinePunct w:val="0"/>
        <w:autoSpaceDE/>
        <w:autoSpaceDN/>
        <w:bidi w:val="0"/>
        <w:adjustRightInd w:val="0"/>
        <w:snapToGrid w:val="0"/>
        <w:spacing w:line="460" w:lineRule="atLeas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硬盘录像机（DVR/NVR）：每日监测录像存储状态，确保录像保存时间不低于30天，排查硬盘故障告警；每周检查硬盘读写速度，清理设备灰尘，测试远程预览、回放功能；每月备份重要录像文件，检查硬盘阵列冗余功能；每季度对硬盘进行健康检测，标记坏道硬盘并及时更换，硬盘容量利用率控制在80%以内。</w:t>
      </w:r>
    </w:p>
    <w:p w14:paraId="32902896">
      <w:pPr>
        <w:keepNext w:val="0"/>
        <w:keepLines w:val="0"/>
        <w:pageBreakBefore w:val="0"/>
        <w:widowControl w:val="0"/>
        <w:numPr>
          <w:ilvl w:val="0"/>
          <w:numId w:val="98"/>
        </w:numPr>
        <w:kinsoku/>
        <w:wordWrap/>
        <w:overflowPunct/>
        <w:topLinePunct w:val="0"/>
        <w:autoSpaceDE/>
        <w:autoSpaceDN/>
        <w:bidi w:val="0"/>
        <w:adjustRightInd w:val="0"/>
        <w:snapToGrid w:val="0"/>
        <w:spacing w:line="460" w:lineRule="atLeas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解码器及显示设备：每日测试解码输出信号稳定性，排查画面卡顿、撕裂问题；每周清洁解码器接口，检查与大屏、显示器的连接；每月校准显示画面拼接缝隙，调整色彩一致性；每季度测试解码器多画面分割、切换功能，确保与监控平台兼容。</w:t>
      </w:r>
    </w:p>
    <w:p w14:paraId="212133DA">
      <w:pPr>
        <w:keepNext w:val="0"/>
        <w:keepLines w:val="0"/>
        <w:pageBreakBefore w:val="0"/>
        <w:widowControl w:val="0"/>
        <w:numPr>
          <w:ilvl w:val="0"/>
          <w:numId w:val="99"/>
        </w:numPr>
        <w:kinsoku/>
        <w:wordWrap/>
        <w:overflowPunct/>
        <w:topLinePunct w:val="0"/>
        <w:autoSpaceDE/>
        <w:autoSpaceDN/>
        <w:bidi w:val="0"/>
        <w:adjustRightInd w:val="0"/>
        <w:snapToGrid w:val="0"/>
        <w:spacing w:line="460" w:lineRule="atLeas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监控线路及辅材：每日巡检监控线路，排查老化、破损、被盗隐患；每周测试线路绝缘性，处理接头氧化问题；每月整理线路桥架，规范标识；每季度对视频线、电源线进行通断测试，更换老化线缆，确保线路故障率每月不超过2次。</w:t>
      </w:r>
    </w:p>
    <w:p w14:paraId="040573DA">
      <w:pPr>
        <w:keepNext w:val="0"/>
        <w:keepLines w:val="0"/>
        <w:pageBreakBefore w:val="0"/>
        <w:widowControl w:val="0"/>
        <w:kinsoku/>
        <w:wordWrap/>
        <w:overflowPunct/>
        <w:topLinePunct w:val="0"/>
        <w:autoSpaceDE/>
        <w:autoSpaceDN/>
        <w:bidi w:val="0"/>
        <w:adjustRightInd w:val="0"/>
        <w:snapToGrid w:val="0"/>
        <w:spacing w:line="460" w:lineRule="atLeast"/>
        <w:jc w:val="left"/>
        <w:textAlignment w:val="auto"/>
        <w:outlineLvl w:val="2"/>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5. 门禁考勤及停车场管理系统</w:t>
      </w:r>
    </w:p>
    <w:p w14:paraId="685561DC">
      <w:pPr>
        <w:keepNext w:val="0"/>
        <w:keepLines w:val="0"/>
        <w:pageBreakBefore w:val="0"/>
        <w:widowControl w:val="0"/>
        <w:numPr>
          <w:ilvl w:val="0"/>
          <w:numId w:val="100"/>
        </w:numPr>
        <w:kinsoku/>
        <w:wordWrap/>
        <w:overflowPunct/>
        <w:topLinePunct w:val="0"/>
        <w:autoSpaceDE/>
        <w:autoSpaceDN/>
        <w:bidi w:val="0"/>
        <w:adjustRightInd w:val="0"/>
        <w:snapToGrid w:val="0"/>
        <w:spacing w:line="460" w:lineRule="atLeas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门禁设备（四门门禁控制器、读卡器、门锁等）：每日测试门禁读卡器、密码键盘响应速度，确保刷卡/密码识别准确率≥99.5%，门磁反馈正常；每周清洁读卡器感应区域，检查门锁开关灵活性，测试应急开门功能；每月检查门禁控制器运行状态，清理缓存，备份考勤数据；每季度校准门禁计时模块，检查线路连接可靠性，处理接触不良问题，对接收单元进行充电测试，确保续航达标。</w:t>
      </w:r>
    </w:p>
    <w:p w14:paraId="5404C358">
      <w:pPr>
        <w:keepNext w:val="0"/>
        <w:keepLines w:val="0"/>
        <w:pageBreakBefore w:val="0"/>
        <w:widowControl w:val="0"/>
        <w:numPr>
          <w:ilvl w:val="0"/>
          <w:numId w:val="101"/>
        </w:numPr>
        <w:kinsoku/>
        <w:wordWrap/>
        <w:overflowPunct/>
        <w:topLinePunct w:val="0"/>
        <w:autoSpaceDE/>
        <w:autoSpaceDN/>
        <w:bidi w:val="0"/>
        <w:adjustRightInd w:val="0"/>
        <w:snapToGrid w:val="0"/>
        <w:spacing w:line="460" w:lineRule="atLeas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停车场管理系统：每日检查道闸升降灵敏度，测试车牌识别准确率（≥99%），排查栏杆卡顿、脱落问题；每周清洁车牌识别摄像头镜头，调整拍摄角度，优化识别算法；每月检查停车场控制主机运行状态，测试收费系统与门禁系统联动功能；每季度对车位引导设备、反向寻车设备进行调试，确保车位显示准确，寻车路径清晰。</w:t>
      </w:r>
    </w:p>
    <w:p w14:paraId="4ED1B104">
      <w:pPr>
        <w:keepNext w:val="0"/>
        <w:keepLines w:val="0"/>
        <w:pageBreakBefore w:val="0"/>
        <w:widowControl w:val="0"/>
        <w:kinsoku/>
        <w:wordWrap/>
        <w:overflowPunct/>
        <w:topLinePunct w:val="0"/>
        <w:autoSpaceDE/>
        <w:autoSpaceDN/>
        <w:bidi w:val="0"/>
        <w:adjustRightInd w:val="0"/>
        <w:snapToGrid w:val="0"/>
        <w:spacing w:line="460" w:lineRule="atLeast"/>
        <w:jc w:val="left"/>
        <w:textAlignment w:val="auto"/>
        <w:outlineLvl w:val="2"/>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6. 会议系统</w:t>
      </w:r>
    </w:p>
    <w:p w14:paraId="2254D8C0">
      <w:pPr>
        <w:keepNext w:val="0"/>
        <w:keepLines w:val="0"/>
        <w:pageBreakBefore w:val="0"/>
        <w:widowControl w:val="0"/>
        <w:numPr>
          <w:ilvl w:val="0"/>
          <w:numId w:val="102"/>
        </w:numPr>
        <w:kinsoku/>
        <w:wordWrap/>
        <w:overflowPunct/>
        <w:topLinePunct w:val="0"/>
        <w:autoSpaceDE/>
        <w:autoSpaceDN/>
        <w:bidi w:val="0"/>
        <w:adjustRightInd w:val="0"/>
        <w:snapToGrid w:val="0"/>
        <w:spacing w:line="460" w:lineRule="atLeas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音频设备（音响、调音台、话筒）：每日巡检会议音响、话筒运行状态，确保开机正常；每场会议前1小时调试音质、音量，检查啸叫抑制功能，测试无线话筒信号稳定性；会议后关闭设备、整理线路，清洁设备表面；每月清洁投影镜头、滤网，校准投影画面；每季度对音响系统进行声学调试，确保声场均匀，调音台（如Midas M32、YAMAHA TF5等）各旋钮、推子功能正常；针对操控型会议，提前24小时完成调音台、音响等设备的全面调试，配合电视台媒体做好信号对接与转播测试。</w:t>
      </w:r>
    </w:p>
    <w:p w14:paraId="7A46D098">
      <w:pPr>
        <w:keepNext w:val="0"/>
        <w:keepLines w:val="0"/>
        <w:pageBreakBefore w:val="0"/>
        <w:widowControl w:val="0"/>
        <w:numPr>
          <w:ilvl w:val="0"/>
          <w:numId w:val="103"/>
        </w:numPr>
        <w:kinsoku/>
        <w:wordWrap/>
        <w:overflowPunct/>
        <w:topLinePunct w:val="0"/>
        <w:autoSpaceDE/>
        <w:autoSpaceDN/>
        <w:bidi w:val="0"/>
        <w:adjustRightInd w:val="0"/>
        <w:snapToGrid w:val="0"/>
        <w:spacing w:line="460" w:lineRule="atLeas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视频设备（投影、中控、视频终端、大屏）：每日检查投影设备运行状态，测试投屏效果，排查信号中断问题；每周清洁投影机身及滤网，检查灯泡亮度，记录使用时长（寿命到期前1个月预警）；每月备份中控程序，测试中控对投影、音响、灯光的联动控制精度；每季度校准视频终端画面，测试远程会议接入功能，确保音视频同步；大屏设备需每日检查显示效果，排查花屏、黑屏、闪烁等问题，熟练掌握大屏相关播放软硬件使用，包括诺瓦C系列、D系列、H系列等设备使用，掌握Hirender、Kommander T0、Millumin4等软件操作使用，会议前完成软件调试及信号对接，会议期间实时监控运行状态，快速处理各类突发故障。</w:t>
      </w:r>
    </w:p>
    <w:p w14:paraId="00270F1B">
      <w:pPr>
        <w:keepNext w:val="0"/>
        <w:keepLines w:val="0"/>
        <w:pageBreakBefore w:val="0"/>
        <w:widowControl w:val="0"/>
        <w:numPr>
          <w:ilvl w:val="0"/>
          <w:numId w:val="104"/>
        </w:numPr>
        <w:kinsoku/>
        <w:wordWrap/>
        <w:overflowPunct/>
        <w:topLinePunct w:val="0"/>
        <w:autoSpaceDE/>
        <w:autoSpaceDN/>
        <w:bidi w:val="0"/>
        <w:adjustRightInd w:val="0"/>
        <w:snapToGrid w:val="0"/>
        <w:spacing w:line="460" w:lineRule="atLeas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配套设备（多媒体地插、桌插）：每日检查地插、桌插接口完好性，测试插拔灵活性；每周清洁接口灰尘，排查松动、进水隐患；每月测试USB供电、网络接口功能，确保正常使用；每季度更换老化接口、损坏面板，统计各会议室设备故障率。</w:t>
      </w:r>
    </w:p>
    <w:p w14:paraId="1EEAE510">
      <w:pPr>
        <w:keepNext w:val="0"/>
        <w:keepLines w:val="0"/>
        <w:pageBreakBefore w:val="0"/>
        <w:widowControl w:val="0"/>
        <w:numPr>
          <w:ilvl w:val="0"/>
          <w:numId w:val="105"/>
        </w:numPr>
        <w:kinsoku/>
        <w:wordWrap/>
        <w:overflowPunct/>
        <w:topLinePunct w:val="0"/>
        <w:autoSpaceDE/>
        <w:autoSpaceDN/>
        <w:bidi w:val="0"/>
        <w:adjustRightInd w:val="0"/>
        <w:snapToGrid w:val="0"/>
        <w:spacing w:line="460" w:lineRule="atLeas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会议灯光设备：每日检查灯光设备运行状态，排查灯泡损坏、线路接触不良等问题；每周清洁灯光设备表面及灯罩，测试灯光亮度、色彩调节功能；每月对灯光控制台进行调试，检查与中控系统的联动性；每季度对灯光设备进行全面维护，更换老化灯泡及配件，针对操控型会议，提前完成灯光场景设置与调试，确保会议期间灯光效果符合需求。</w:t>
      </w:r>
    </w:p>
    <w:p w14:paraId="6927E40D">
      <w:pPr>
        <w:keepNext w:val="0"/>
        <w:keepLines w:val="0"/>
        <w:pageBreakBefore w:val="0"/>
        <w:widowControl w:val="0"/>
        <w:kinsoku/>
        <w:wordWrap/>
        <w:overflowPunct/>
        <w:topLinePunct w:val="0"/>
        <w:autoSpaceDE/>
        <w:autoSpaceDN/>
        <w:bidi w:val="0"/>
        <w:adjustRightInd w:val="0"/>
        <w:snapToGrid w:val="0"/>
        <w:spacing w:line="460" w:lineRule="atLeast"/>
        <w:jc w:val="left"/>
        <w:textAlignment w:val="auto"/>
        <w:outlineLvl w:val="2"/>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7. 弱电机房及配套系统</w:t>
      </w:r>
    </w:p>
    <w:p w14:paraId="1A83C6A1">
      <w:pPr>
        <w:keepNext w:val="0"/>
        <w:keepLines w:val="0"/>
        <w:pageBreakBefore w:val="0"/>
        <w:widowControl w:val="0"/>
        <w:numPr>
          <w:ilvl w:val="0"/>
          <w:numId w:val="106"/>
        </w:numPr>
        <w:kinsoku/>
        <w:wordWrap/>
        <w:overflowPunct/>
        <w:topLinePunct w:val="0"/>
        <w:autoSpaceDE/>
        <w:autoSpaceDN/>
        <w:bidi w:val="0"/>
        <w:adjustRightInd w:val="0"/>
        <w:snapToGrid w:val="0"/>
        <w:spacing w:line="460" w:lineRule="atLeas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机房环境：每日监测机房温湿度（温度18-25℃、湿度40%-60%），检查空调运行状态，确保制冷、制热功能正常；每周清洁机房地面、设备表面灰尘，检查消防设施（灭火器、烟感报警器）有效性；每月测试机房新风系统，确保空气流通，排查漏水隐患。</w:t>
      </w:r>
    </w:p>
    <w:p w14:paraId="5119D833">
      <w:pPr>
        <w:keepNext w:val="0"/>
        <w:keepLines w:val="0"/>
        <w:pageBreakBefore w:val="0"/>
        <w:widowControl w:val="0"/>
        <w:numPr>
          <w:ilvl w:val="0"/>
          <w:numId w:val="107"/>
        </w:numPr>
        <w:kinsoku/>
        <w:wordWrap/>
        <w:overflowPunct/>
        <w:topLinePunct w:val="0"/>
        <w:autoSpaceDE/>
        <w:autoSpaceDN/>
        <w:bidi w:val="0"/>
        <w:adjustRightInd w:val="0"/>
        <w:snapToGrid w:val="0"/>
        <w:spacing w:line="460" w:lineRule="atLeas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UPS电源及配电柜：每日检查UPS电源运行状态，监测电池电压、电流，记录运行参数；每周测试UPS备用电源切换功能，确保断电后无缝衔接；每月测试UPS备用电源续航能力（不低于30分钟），检查配电柜开关状态，标记老化开关；每季度对电池组进行充放电测试，更换衰减严重的电池，检查机房接地电阻（≤4Ω），确保符合规范。服务周期内提供不低于1次原厂家巡检服务，确保服务及时到位。</w:t>
      </w:r>
    </w:p>
    <w:p w14:paraId="08C437BF">
      <w:pPr>
        <w:keepNext w:val="0"/>
        <w:keepLines w:val="0"/>
        <w:pageBreakBefore w:val="0"/>
        <w:widowControl w:val="0"/>
        <w:numPr>
          <w:ilvl w:val="0"/>
          <w:numId w:val="108"/>
        </w:numPr>
        <w:kinsoku/>
        <w:wordWrap/>
        <w:overflowPunct/>
        <w:topLinePunct w:val="0"/>
        <w:autoSpaceDE/>
        <w:autoSpaceDN/>
        <w:bidi w:val="0"/>
        <w:adjustRightInd w:val="0"/>
        <w:snapToGrid w:val="0"/>
        <w:spacing w:line="460" w:lineRule="atLeas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机房线路及标识：每日巡检机房线路，排查过载、发热隐患，规范整理线缆；每周核对线路标识，更新模糊、错误标识；每月检查桥架、线槽固定情况，清理杂物；每季度绘制机房线路分布图，更新设备台账，确保线路布局规范、安全。</w:t>
      </w:r>
    </w:p>
    <w:p w14:paraId="007D52A2">
      <w:pPr>
        <w:keepNext w:val="0"/>
        <w:keepLines w:val="0"/>
        <w:pageBreakBefore w:val="0"/>
        <w:widowControl w:val="0"/>
        <w:kinsoku/>
        <w:wordWrap/>
        <w:overflowPunct/>
        <w:topLinePunct w:val="0"/>
        <w:autoSpaceDE/>
        <w:autoSpaceDN/>
        <w:bidi w:val="0"/>
        <w:adjustRightInd w:val="0"/>
        <w:snapToGrid w:val="0"/>
        <w:spacing w:line="460" w:lineRule="atLeast"/>
        <w:jc w:val="left"/>
        <w:textAlignment w:val="auto"/>
        <w:outlineLvl w:val="2"/>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8. 五方对讲系统</w:t>
      </w:r>
    </w:p>
    <w:p w14:paraId="61F64034">
      <w:pPr>
        <w:keepNext w:val="0"/>
        <w:keepLines w:val="0"/>
        <w:pageBreakBefore w:val="0"/>
        <w:widowControl w:val="0"/>
        <w:kinsoku/>
        <w:wordWrap/>
        <w:overflowPunct/>
        <w:topLinePunct w:val="0"/>
        <w:autoSpaceDE/>
        <w:autoSpaceDN/>
        <w:bidi w:val="0"/>
        <w:adjustRightInd w:val="0"/>
        <w:snapToGrid w:val="0"/>
        <w:spacing w:line="460" w:lineRule="atLeas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针对消防报警系统中集成的五方对讲设备，结合系统联动特性制定维保要求，确保与消防系统协同稳定运行：</w:t>
      </w:r>
    </w:p>
    <w:p w14:paraId="0CFCF81C">
      <w:pPr>
        <w:keepNext w:val="0"/>
        <w:keepLines w:val="0"/>
        <w:pageBreakBefore w:val="0"/>
        <w:widowControl w:val="0"/>
        <w:numPr>
          <w:ilvl w:val="0"/>
          <w:numId w:val="109"/>
        </w:numPr>
        <w:kinsoku/>
        <w:wordWrap/>
        <w:overflowPunct/>
        <w:topLinePunct w:val="0"/>
        <w:autoSpaceDE/>
        <w:autoSpaceDN/>
        <w:bidi w:val="0"/>
        <w:adjustRightInd w:val="0"/>
        <w:snapToGrid w:val="0"/>
        <w:spacing w:line="460" w:lineRule="atLeas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每日巡检对讲终端（含消防泵房、电梯轿厢、监控中心等点位）运行状态，测试呼叫、接听功能，排查无声音、串音、呼叫失败等故障，确保终端在线率100%；同步统计消防报警系统设备总数、在线数、离线数、故障数及各状态占比，形成每日台账。</w:t>
      </w:r>
    </w:p>
    <w:p w14:paraId="12AC65E6">
      <w:pPr>
        <w:keepNext w:val="0"/>
        <w:keepLines w:val="0"/>
        <w:pageBreakBefore w:val="0"/>
        <w:widowControl w:val="0"/>
        <w:numPr>
          <w:ilvl w:val="0"/>
          <w:numId w:val="110"/>
        </w:numPr>
        <w:kinsoku/>
        <w:wordWrap/>
        <w:overflowPunct/>
        <w:topLinePunct w:val="0"/>
        <w:autoSpaceDE/>
        <w:autoSpaceDN/>
        <w:bidi w:val="0"/>
        <w:adjustRightInd w:val="0"/>
        <w:snapToGrid w:val="0"/>
        <w:spacing w:line="460" w:lineRule="atLeas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每周测试五方对讲与消防报警系统的联动响应，确保消防报警触发时，对讲终端能快速接通指定责任人，通话音质清晰无杂音；清洁终端麦克风、扬声器，检查按键灵敏度及线路连接牢固性。</w:t>
      </w:r>
    </w:p>
    <w:p w14:paraId="33B6DA00">
      <w:pPr>
        <w:keepNext w:val="0"/>
        <w:keepLines w:val="0"/>
        <w:pageBreakBefore w:val="0"/>
        <w:widowControl w:val="0"/>
        <w:numPr>
          <w:ilvl w:val="0"/>
          <w:numId w:val="111"/>
        </w:numPr>
        <w:kinsoku/>
        <w:wordWrap/>
        <w:overflowPunct/>
        <w:topLinePunct w:val="0"/>
        <w:autoSpaceDE/>
        <w:autoSpaceDN/>
        <w:bidi w:val="0"/>
        <w:adjustRightInd w:val="0"/>
        <w:snapToGrid w:val="0"/>
        <w:spacing w:line="460" w:lineRule="atLeas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每月对系统进行全链路调试，校准呼叫优先级，备份系统配置参数；为核心设备建立数字孪生档案，记录设备运行参数、故障历史，辅助预测潜在故障，优化维护流程。</w:t>
      </w:r>
    </w:p>
    <w:p w14:paraId="55E0AA41">
      <w:pPr>
        <w:keepNext w:val="0"/>
        <w:keepLines w:val="0"/>
        <w:pageBreakBefore w:val="0"/>
        <w:widowControl w:val="0"/>
        <w:numPr>
          <w:ilvl w:val="0"/>
          <w:numId w:val="112"/>
        </w:numPr>
        <w:kinsoku/>
        <w:wordWrap/>
        <w:overflowPunct/>
        <w:topLinePunct w:val="0"/>
        <w:autoSpaceDE/>
        <w:autoSpaceDN/>
        <w:bidi w:val="0"/>
        <w:adjustRightInd w:val="0"/>
        <w:snapToGrid w:val="0"/>
        <w:spacing w:line="460" w:lineRule="atLeas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每季度检查对讲线路绝缘性及抗干扰能力，处理线路老化、接口氧化问题；测试备用电源供电能力，确保断电后终端仍可正常工作不低于30分钟；配合消防系统年检，完成对讲系统专项检测并提供报告。</w:t>
      </w:r>
    </w:p>
    <w:p w14:paraId="52335078">
      <w:pPr>
        <w:keepNext w:val="0"/>
        <w:keepLines w:val="0"/>
        <w:pageBreakBefore w:val="0"/>
        <w:widowControl w:val="0"/>
        <w:kinsoku/>
        <w:wordWrap/>
        <w:overflowPunct/>
        <w:topLinePunct w:val="0"/>
        <w:autoSpaceDE/>
        <w:autoSpaceDN/>
        <w:bidi w:val="0"/>
        <w:adjustRightInd w:val="0"/>
        <w:snapToGrid w:val="0"/>
        <w:spacing w:line="460" w:lineRule="atLeast"/>
        <w:jc w:val="left"/>
        <w:textAlignment w:val="auto"/>
        <w:outlineLvl w:val="2"/>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9. 综合管网系统</w:t>
      </w:r>
    </w:p>
    <w:p w14:paraId="29228A48">
      <w:pPr>
        <w:keepNext w:val="0"/>
        <w:keepLines w:val="0"/>
        <w:pageBreakBefore w:val="0"/>
        <w:widowControl w:val="0"/>
        <w:kinsoku/>
        <w:wordWrap/>
        <w:overflowPunct/>
        <w:topLinePunct w:val="0"/>
        <w:autoSpaceDE/>
        <w:autoSpaceDN/>
        <w:bidi w:val="0"/>
        <w:adjustRightInd w:val="0"/>
        <w:snapToGrid w:val="0"/>
        <w:spacing w:line="460" w:lineRule="atLeas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针对室外管沟、镀锌钢管、钢制线槽、人（手）孔、混凝土包封等设施，结合会展中心总建筑面积14.4万平方米及各区域分布，聚焦管网防护及线路保障功能细化维保，确保覆盖全馆各区域（含改扩建10万平方米、老馆4.2万平方米区域）：</w:t>
      </w:r>
    </w:p>
    <w:p w14:paraId="08D98F8D">
      <w:pPr>
        <w:keepNext w:val="0"/>
        <w:keepLines w:val="0"/>
        <w:pageBreakBefore w:val="0"/>
        <w:widowControl w:val="0"/>
        <w:numPr>
          <w:ilvl w:val="0"/>
          <w:numId w:val="113"/>
        </w:numPr>
        <w:kinsoku/>
        <w:wordWrap/>
        <w:overflowPunct/>
        <w:topLinePunct w:val="0"/>
        <w:autoSpaceDE/>
        <w:autoSpaceDN/>
        <w:bidi w:val="0"/>
        <w:adjustRightInd w:val="0"/>
        <w:snapToGrid w:val="0"/>
        <w:spacing w:line="460" w:lineRule="atLeas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每日巡检室外管沟（0.7m×0.5m规格）及管路敷设路径，排查塌陷、积水、破损、杂物堆积问题，标记隐患区域；检查人（手）孔（600×600×900mm）盖板完整性、密封性，避免雨水、杂物进入。</w:t>
      </w:r>
    </w:p>
    <w:p w14:paraId="0887DDFD">
      <w:pPr>
        <w:keepNext w:val="0"/>
        <w:keepLines w:val="0"/>
        <w:pageBreakBefore w:val="0"/>
        <w:widowControl w:val="0"/>
        <w:numPr>
          <w:ilvl w:val="0"/>
          <w:numId w:val="114"/>
        </w:numPr>
        <w:kinsoku/>
        <w:wordWrap/>
        <w:overflowPunct/>
        <w:topLinePunct w:val="0"/>
        <w:autoSpaceDE/>
        <w:autoSpaceDN/>
        <w:bidi w:val="0"/>
        <w:adjustRightInd w:val="0"/>
        <w:snapToGrid w:val="0"/>
        <w:spacing w:line="460" w:lineRule="atLeas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每周对镀锌钢管、钢制线槽（100-450规格）进行外观检查，排查锈蚀、变形、接口松动情况，对锈蚀部位及时除锈防腐处理；整理线槽内线缆，避免挤压、缠绕导致信号衰减。</w:t>
      </w:r>
    </w:p>
    <w:p w14:paraId="54EDB295">
      <w:pPr>
        <w:keepNext w:val="0"/>
        <w:keepLines w:val="0"/>
        <w:pageBreakBefore w:val="0"/>
        <w:widowControl w:val="0"/>
        <w:numPr>
          <w:ilvl w:val="0"/>
          <w:numId w:val="115"/>
        </w:numPr>
        <w:kinsoku/>
        <w:wordWrap/>
        <w:overflowPunct/>
        <w:topLinePunct w:val="0"/>
        <w:autoSpaceDE/>
        <w:autoSpaceDN/>
        <w:bidi w:val="0"/>
        <w:adjustRightInd w:val="0"/>
        <w:snapToGrid w:val="0"/>
        <w:spacing w:line="460" w:lineRule="atLeas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每月检查混凝土包封完整性，排查裂缝、破损，对出现的裂缝及时灌注修补材料，防止雨水渗透侵蚀内部管路；测试管网接地及防雷性能，确保符合弱电施工规范。</w:t>
      </w:r>
    </w:p>
    <w:p w14:paraId="7ABA020F">
      <w:pPr>
        <w:keepNext w:val="0"/>
        <w:keepLines w:val="0"/>
        <w:pageBreakBefore w:val="0"/>
        <w:widowControl w:val="0"/>
        <w:numPr>
          <w:ilvl w:val="0"/>
          <w:numId w:val="116"/>
        </w:numPr>
        <w:kinsoku/>
        <w:wordWrap/>
        <w:overflowPunct/>
        <w:topLinePunct w:val="0"/>
        <w:autoSpaceDE/>
        <w:autoSpaceDN/>
        <w:bidi w:val="0"/>
        <w:adjustRightInd w:val="0"/>
        <w:snapToGrid w:val="0"/>
        <w:spacing w:line="460" w:lineRule="atLeas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每季度对全管网进行贯通性检查，清理管沟及人（手）孔内积水、淤泥、杂物；检查管路接口密封性能，测试防水、防潮效果；对跨区域管网节点进行标识更新，确保线路路由清晰可追溯。</w:t>
      </w:r>
    </w:p>
    <w:p w14:paraId="61B7B1FA">
      <w:pPr>
        <w:keepNext w:val="0"/>
        <w:keepLines w:val="0"/>
        <w:pageBreakBefore w:val="0"/>
        <w:widowControl w:val="0"/>
        <w:kinsoku/>
        <w:wordWrap/>
        <w:overflowPunct/>
        <w:topLinePunct w:val="0"/>
        <w:autoSpaceDE/>
        <w:autoSpaceDN/>
        <w:bidi w:val="0"/>
        <w:adjustRightInd w:val="0"/>
        <w:snapToGrid w:val="0"/>
        <w:spacing w:line="460" w:lineRule="atLeast"/>
        <w:jc w:val="left"/>
        <w:textAlignment w:val="auto"/>
        <w:outlineLvl w:val="2"/>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10. 智能管控平台及配套系统</w:t>
      </w:r>
    </w:p>
    <w:p w14:paraId="4DE294E2">
      <w:pPr>
        <w:keepNext w:val="0"/>
        <w:keepLines w:val="0"/>
        <w:pageBreakBefore w:val="0"/>
        <w:widowControl w:val="0"/>
        <w:kinsoku/>
        <w:wordWrap/>
        <w:overflowPunct/>
        <w:topLinePunct w:val="0"/>
        <w:autoSpaceDE/>
        <w:autoSpaceDN/>
        <w:bidi w:val="0"/>
        <w:adjustRightInd w:val="0"/>
        <w:snapToGrid w:val="0"/>
        <w:spacing w:line="460" w:lineRule="atLeas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涵盖智能化系统集成、智能管控平台、物业运维管理系统（含APP）、运营服务小程序等，聚焦软件运行稳定性及功能适配性维保：</w:t>
      </w:r>
    </w:p>
    <w:p w14:paraId="7C04F72E">
      <w:pPr>
        <w:keepNext w:val="0"/>
        <w:keepLines w:val="0"/>
        <w:pageBreakBefore w:val="0"/>
        <w:widowControl w:val="0"/>
        <w:numPr>
          <w:ilvl w:val="0"/>
          <w:numId w:val="117"/>
        </w:numPr>
        <w:kinsoku/>
        <w:wordWrap/>
        <w:overflowPunct/>
        <w:topLinePunct w:val="0"/>
        <w:autoSpaceDE/>
        <w:autoSpaceDN/>
        <w:bidi w:val="0"/>
        <w:adjustRightInd w:val="0"/>
        <w:snapToGrid w:val="0"/>
        <w:spacing w:line="460" w:lineRule="atLeas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实时监控模块：每日检查基于WEB形式的系统图、平面图展示功能，确保设备实时运行数据更新及时、报警动态标注准确；测试报警联动响应，确保异常时快速推送至管理终端，报警准确率100%。</w:t>
      </w:r>
    </w:p>
    <w:p w14:paraId="5829B6E1">
      <w:pPr>
        <w:keepNext w:val="0"/>
        <w:keepLines w:val="0"/>
        <w:pageBreakBefore w:val="0"/>
        <w:widowControl w:val="0"/>
        <w:numPr>
          <w:ilvl w:val="0"/>
          <w:numId w:val="118"/>
        </w:numPr>
        <w:kinsoku/>
        <w:wordWrap/>
        <w:overflowPunct/>
        <w:topLinePunct w:val="0"/>
        <w:autoSpaceDE/>
        <w:autoSpaceDN/>
        <w:bidi w:val="0"/>
        <w:adjustRightInd w:val="0"/>
        <w:snapToGrid w:val="0"/>
        <w:spacing w:line="460" w:lineRule="atLeas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综合态势及可视化模块：每日调试大场景模型、楼层视图功能，确保第一人称漫游流畅、空间定位精准，租户及空间信息显示完整；检查停车场剩余车位、能耗数据等核心指标展示准确性，与现场实际数据核对一致。</w:t>
      </w:r>
    </w:p>
    <w:p w14:paraId="67627B92">
      <w:pPr>
        <w:keepNext w:val="0"/>
        <w:keepLines w:val="0"/>
        <w:pageBreakBefore w:val="0"/>
        <w:widowControl w:val="0"/>
        <w:numPr>
          <w:ilvl w:val="0"/>
          <w:numId w:val="119"/>
        </w:numPr>
        <w:kinsoku/>
        <w:wordWrap/>
        <w:overflowPunct/>
        <w:topLinePunct w:val="0"/>
        <w:autoSpaceDE/>
        <w:autoSpaceDN/>
        <w:bidi w:val="0"/>
        <w:adjustRightInd w:val="0"/>
        <w:snapToGrid w:val="0"/>
        <w:spacing w:line="460" w:lineRule="atLeas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业务管理模块：每周测试物业运维管理系统（PC端及APP）工单流转、租户信息管理、知识库管理功能，确保报修、派单、接单、闭环全流程顺畅，工单数据统计准确；调试运营服务小程序消息推送、业务办理功能，保障移动端与PC端数据同步。</w:t>
      </w:r>
    </w:p>
    <w:p w14:paraId="7D072F69">
      <w:pPr>
        <w:keepNext w:val="0"/>
        <w:keepLines w:val="0"/>
        <w:pageBreakBefore w:val="0"/>
        <w:widowControl w:val="0"/>
        <w:numPr>
          <w:ilvl w:val="0"/>
          <w:numId w:val="120"/>
        </w:numPr>
        <w:kinsoku/>
        <w:wordWrap/>
        <w:overflowPunct/>
        <w:topLinePunct w:val="0"/>
        <w:autoSpaceDE/>
        <w:autoSpaceDN/>
        <w:bidi w:val="0"/>
        <w:adjustRightInd w:val="0"/>
        <w:snapToGrid w:val="0"/>
        <w:spacing w:line="460" w:lineRule="atLeas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统计分析模块：每月检查设备台账、维保记录、检验报告的筛选、查询功能，确保数据检索快速准确；验证报修比例、类型分布、人员排行、频率统计等分析功能，导出报表格式规范、数据无误，支持表头模板化配置。</w:t>
      </w:r>
    </w:p>
    <w:p w14:paraId="7424722D">
      <w:pPr>
        <w:keepNext w:val="0"/>
        <w:keepLines w:val="0"/>
        <w:pageBreakBefore w:val="0"/>
        <w:widowControl w:val="0"/>
        <w:numPr>
          <w:ilvl w:val="0"/>
          <w:numId w:val="121"/>
        </w:numPr>
        <w:kinsoku/>
        <w:wordWrap/>
        <w:overflowPunct/>
        <w:topLinePunct w:val="0"/>
        <w:autoSpaceDE/>
        <w:autoSpaceDN/>
        <w:bidi w:val="0"/>
        <w:adjustRightInd w:val="0"/>
        <w:snapToGrid w:val="0"/>
        <w:spacing w:line="460" w:lineRule="atLeas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系统配置及联动：每季度备份平台配置参数、联动规则、维保模板，更新设备编码及测点信息，优化场景联动逻辑；测试移动终端扫码查设备、离线提交巡检/维保结果功能，确保离线数据同步及时；清理系统缓存，优化运行速度，避免卡顿、闪退。</w:t>
      </w:r>
    </w:p>
    <w:p w14:paraId="631F23CC">
      <w:pPr>
        <w:keepNext w:val="0"/>
        <w:keepLines w:val="0"/>
        <w:pageBreakBefore w:val="0"/>
        <w:widowControl w:val="0"/>
        <w:kinsoku/>
        <w:wordWrap/>
        <w:overflowPunct/>
        <w:topLinePunct w:val="0"/>
        <w:autoSpaceDE/>
        <w:autoSpaceDN/>
        <w:bidi w:val="0"/>
        <w:adjustRightInd w:val="0"/>
        <w:snapToGrid w:val="0"/>
        <w:spacing w:line="460" w:lineRule="atLeast"/>
        <w:jc w:val="left"/>
        <w:textAlignment w:val="auto"/>
        <w:outlineLvl w:val="2"/>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11. 服务器及智能卡应用系统</w:t>
      </w:r>
    </w:p>
    <w:p w14:paraId="22A64075">
      <w:pPr>
        <w:keepNext w:val="0"/>
        <w:keepLines w:val="0"/>
        <w:pageBreakBefore w:val="0"/>
        <w:widowControl w:val="0"/>
        <w:kinsoku/>
        <w:wordWrap/>
        <w:overflowPunct/>
        <w:topLinePunct w:val="0"/>
        <w:autoSpaceDE/>
        <w:autoSpaceDN/>
        <w:bidi w:val="0"/>
        <w:adjustRightInd w:val="0"/>
        <w:snapToGrid w:val="0"/>
        <w:spacing w:line="460" w:lineRule="atLeas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针对Xeon银牌16核服务器及智能卡应用系统，重点保障硬件稳定及数据安全：</w:t>
      </w:r>
    </w:p>
    <w:p w14:paraId="40692611">
      <w:pPr>
        <w:keepNext w:val="0"/>
        <w:keepLines w:val="0"/>
        <w:pageBreakBefore w:val="0"/>
        <w:widowControl w:val="0"/>
        <w:numPr>
          <w:ilvl w:val="0"/>
          <w:numId w:val="122"/>
        </w:numPr>
        <w:kinsoku/>
        <w:wordWrap/>
        <w:overflowPunct/>
        <w:topLinePunct w:val="0"/>
        <w:autoSpaceDE/>
        <w:autoSpaceDN/>
        <w:bidi w:val="0"/>
        <w:adjustRightInd w:val="0"/>
        <w:snapToGrid w:val="0"/>
        <w:spacing w:line="460" w:lineRule="atLeas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服务器维保：每日监测服务器CPU、内存占用率（峰值不超过70%），硬盘读写速度及RAID阵列状态，确保RAID-0/1/5备份功能正常；检查机箱散热、电源稳定性，记录运行参数，排查硬件告警。每周备份服务器数据，测试数据恢复功能；每月清理服务器灰尘，检查硬盘健康状态，标记坏道硬盘并更换；每季度升级操作系统及安全补丁，优化系统配置，进行负载压力测试，确保满足平台运行需求。</w:t>
      </w:r>
    </w:p>
    <w:p w14:paraId="79021D8C">
      <w:pPr>
        <w:keepNext w:val="0"/>
        <w:keepLines w:val="0"/>
        <w:pageBreakBefore w:val="0"/>
        <w:widowControl w:val="0"/>
        <w:numPr>
          <w:ilvl w:val="0"/>
          <w:numId w:val="123"/>
        </w:numPr>
        <w:kinsoku/>
        <w:wordWrap/>
        <w:overflowPunct/>
        <w:topLinePunct w:val="0"/>
        <w:autoSpaceDE/>
        <w:autoSpaceDN/>
        <w:bidi w:val="0"/>
        <w:adjustRightInd w:val="0"/>
        <w:snapToGrid w:val="0"/>
        <w:spacing w:line="460" w:lineRule="atLeas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智能卡应用系统：每日测试制卡、发卡、授权功能，检查IC卡（员工卡、物业卡、访客卡等）激活、挂失、解挂、销户等服务稳定性，确保卡识别准确率≥99.5%。每周清洁读卡器、写卡器接口，测试考勤、签到模块数据上传完整性；校准卡片权限分级管理功能，确保不同类型卡片权限边界清晰。每月备份卡片数据及系统配置，排查数据泄露隐患；每季度测试智能卡与门禁、停车场系统联动功能，更新卡片标识系统及代码，保障跨系统兼容。</w:t>
      </w:r>
    </w:p>
    <w:p w14:paraId="3E76AF26">
      <w:pPr>
        <w:keepNext w:val="0"/>
        <w:keepLines w:val="0"/>
        <w:pageBreakBefore w:val="0"/>
        <w:widowControl w:val="0"/>
        <w:kinsoku/>
        <w:wordWrap/>
        <w:overflowPunct/>
        <w:topLinePunct w:val="0"/>
        <w:autoSpaceDE/>
        <w:autoSpaceDN/>
        <w:bidi w:val="0"/>
        <w:adjustRightInd w:val="0"/>
        <w:snapToGrid w:val="0"/>
        <w:spacing w:line="460" w:lineRule="atLeast"/>
        <w:jc w:val="left"/>
        <w:textAlignment w:val="auto"/>
        <w:outlineLvl w:val="2"/>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12. 冷通道空调相关设备</w:t>
      </w:r>
    </w:p>
    <w:p w14:paraId="55D004FC">
      <w:pPr>
        <w:keepNext w:val="0"/>
        <w:keepLines w:val="0"/>
        <w:pageBreakBefore w:val="0"/>
        <w:widowControl w:val="0"/>
        <w:kinsoku/>
        <w:wordWrap/>
        <w:overflowPunct/>
        <w:topLinePunct w:val="0"/>
        <w:autoSpaceDE/>
        <w:autoSpaceDN/>
        <w:bidi w:val="0"/>
        <w:adjustRightInd w:val="0"/>
        <w:snapToGrid w:val="0"/>
        <w:spacing w:line="460" w:lineRule="atLeas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针对冷通道空调配套配件及设备，结合清单细化维保要求：</w:t>
      </w:r>
    </w:p>
    <w:p w14:paraId="0BE8782D">
      <w:pPr>
        <w:keepNext w:val="0"/>
        <w:keepLines w:val="0"/>
        <w:pageBreakBefore w:val="0"/>
        <w:widowControl w:val="0"/>
        <w:numPr>
          <w:ilvl w:val="0"/>
          <w:numId w:val="124"/>
        </w:numPr>
        <w:kinsoku/>
        <w:wordWrap/>
        <w:overflowPunct/>
        <w:topLinePunct w:val="0"/>
        <w:autoSpaceDE/>
        <w:autoSpaceDN/>
        <w:bidi w:val="0"/>
        <w:adjustRightInd w:val="0"/>
        <w:snapToGrid w:val="0"/>
        <w:spacing w:line="460" w:lineRule="atLeas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加试罐（精密空调A配件）：每日检查加试罐外观有无破损、泄漏，连接管路是否牢固；每周测试加试罐压力值，确保在正常工作范围内；每月清洁加试罐表面，检查阀门开关灵活性；每季度对加试罐进行全面检测，排查潜在故障，确保其与空调系统协同运行正常；若需更换，按耗材及配件管理要求执行，确保订货周期不超过5天。</w:t>
      </w:r>
    </w:p>
    <w:p w14:paraId="157FD385">
      <w:pPr>
        <w:keepNext w:val="0"/>
        <w:keepLines w:val="0"/>
        <w:pageBreakBefore w:val="0"/>
        <w:widowControl w:val="0"/>
        <w:numPr>
          <w:ilvl w:val="0"/>
          <w:numId w:val="125"/>
        </w:numPr>
        <w:kinsoku/>
        <w:wordWrap/>
        <w:overflowPunct/>
        <w:topLinePunct w:val="0"/>
        <w:autoSpaceDE/>
        <w:autoSpaceDN/>
        <w:bidi w:val="0"/>
        <w:adjustRightInd w:val="0"/>
        <w:snapToGrid w:val="0"/>
        <w:spacing w:line="460" w:lineRule="atLeas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内机过滤网（精密空调A配件）：每日检查过滤网清洁度，若有明显灰尘堆积及时清理；每周对过滤网进行深度清洁，去除顽固污渍；每月检查过滤网完整性，若出现破损、变形及时更换；每季度统计过滤网损耗情况，确保备用滤网储备充足；服务周期内提供不低于2次过滤网更换服务，订货周期不超过5天。</w:t>
      </w:r>
    </w:p>
    <w:p w14:paraId="4A522ACC">
      <w:pPr>
        <w:keepNext w:val="0"/>
        <w:keepLines w:val="0"/>
        <w:pageBreakBefore w:val="0"/>
        <w:widowControl w:val="0"/>
        <w:numPr>
          <w:ilvl w:val="0"/>
          <w:numId w:val="126"/>
        </w:numPr>
        <w:kinsoku/>
        <w:wordWrap/>
        <w:overflowPunct/>
        <w:topLinePunct w:val="0"/>
        <w:autoSpaceDE/>
        <w:autoSpaceDN/>
        <w:bidi w:val="0"/>
        <w:adjustRightInd w:val="0"/>
        <w:snapToGrid w:val="0"/>
        <w:spacing w:line="460" w:lineRule="atLeas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冷通道空调整机：每日监测空调运行状态，包括制冷效果、运行噪音、风机转速等，确保机房温湿度维持在标准范围内；每周清洁空调机身及出风口，检查冷凝水排放是否通畅；每月对空调压缩机、冷凝器、蒸发器等核心部件进行巡检，排查泄漏、异响等问题；每季度对空调系统进行全面调试，测试各项运行参数，确保系统稳定高效运行；服务周期内提供不低于1次原厂家巡检服务，确保服务及时到位。</w:t>
      </w:r>
    </w:p>
    <w:p w14:paraId="5F0FCF8A">
      <w:pPr>
        <w:keepNext w:val="0"/>
        <w:keepLines w:val="0"/>
        <w:pageBreakBefore w:val="0"/>
        <w:widowControl w:val="0"/>
        <w:kinsoku/>
        <w:wordWrap/>
        <w:overflowPunct/>
        <w:topLinePunct w:val="0"/>
        <w:autoSpaceDE/>
        <w:autoSpaceDN/>
        <w:bidi w:val="0"/>
        <w:adjustRightInd w:val="0"/>
        <w:snapToGrid w:val="0"/>
        <w:spacing w:line="460" w:lineRule="atLeast"/>
        <w:jc w:val="left"/>
        <w:textAlignment w:val="auto"/>
        <w:outlineLvl w:val="2"/>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13. 通用维保内容</w:t>
      </w:r>
    </w:p>
    <w:p w14:paraId="17830948">
      <w:pPr>
        <w:keepNext w:val="0"/>
        <w:keepLines w:val="0"/>
        <w:pageBreakBefore w:val="0"/>
        <w:widowControl w:val="0"/>
        <w:numPr>
          <w:ilvl w:val="0"/>
          <w:numId w:val="127"/>
        </w:numPr>
        <w:kinsoku/>
        <w:wordWrap/>
        <w:overflowPunct/>
        <w:topLinePunct w:val="0"/>
        <w:autoSpaceDE/>
        <w:autoSpaceDN/>
        <w:bidi w:val="0"/>
        <w:adjustRightInd w:val="0"/>
        <w:snapToGrid w:val="0"/>
        <w:spacing w:line="460" w:lineRule="atLeas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日常巡检：每日按上述系统要求，结合会展中心总建筑面积及各区域划分开展针对性巡检，重点覆盖改扩建及老馆各功能区域，填写《每日巡检记录表》，注明设备编号、运行状态、隐患情况，发现隐患立即整改，无法当场整改的挂牌警示并跟踪闭环，整改完成后签署确认。</w:t>
      </w:r>
    </w:p>
    <w:p w14:paraId="4E3EA017">
      <w:pPr>
        <w:keepNext w:val="0"/>
        <w:keepLines w:val="0"/>
        <w:pageBreakBefore w:val="0"/>
        <w:widowControl w:val="0"/>
        <w:numPr>
          <w:ilvl w:val="0"/>
          <w:numId w:val="128"/>
        </w:numPr>
        <w:kinsoku/>
        <w:wordWrap/>
        <w:overflowPunct/>
        <w:topLinePunct w:val="0"/>
        <w:autoSpaceDE/>
        <w:autoSpaceDN/>
        <w:bidi w:val="0"/>
        <w:adjustRightInd w:val="0"/>
        <w:snapToGrid w:val="0"/>
        <w:spacing w:line="460" w:lineRule="atLeas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定期维护：严格遵循各系统维护周期开展清洁、调试、校准、升级、备份工作，根据各区域面积及设备密度优化维护频次，留存维护记录及测试数据，形成《月度维护台账》《季度测试报告》。</w:t>
      </w:r>
    </w:p>
    <w:p w14:paraId="303BAAD7">
      <w:pPr>
        <w:keepNext w:val="0"/>
        <w:keepLines w:val="0"/>
        <w:pageBreakBefore w:val="0"/>
        <w:widowControl w:val="0"/>
        <w:numPr>
          <w:ilvl w:val="0"/>
          <w:numId w:val="129"/>
        </w:numPr>
        <w:kinsoku/>
        <w:wordWrap/>
        <w:overflowPunct/>
        <w:topLinePunct w:val="0"/>
        <w:autoSpaceDE/>
        <w:autoSpaceDN/>
        <w:bidi w:val="0"/>
        <w:adjustRightInd w:val="0"/>
        <w:snapToGrid w:val="0"/>
        <w:spacing w:line="460" w:lineRule="atLeas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故障维修：接到故障通知后，按规定时限完成排查及维修，根据故障区域面积及重要程度优先调配资源，优先保障核心区域运行，同步做好故障溯源，填写《故障处理记录表》，注明故障原因、处置过程、修复结果。</w:t>
      </w:r>
    </w:p>
    <w:p w14:paraId="44416C90">
      <w:pPr>
        <w:keepNext w:val="0"/>
        <w:keepLines w:val="0"/>
        <w:pageBreakBefore w:val="0"/>
        <w:widowControl w:val="0"/>
        <w:numPr>
          <w:ilvl w:val="0"/>
          <w:numId w:val="130"/>
        </w:numPr>
        <w:kinsoku/>
        <w:wordWrap/>
        <w:overflowPunct/>
        <w:topLinePunct w:val="0"/>
        <w:autoSpaceDE/>
        <w:autoSpaceDN/>
        <w:bidi w:val="0"/>
        <w:adjustRightInd w:val="0"/>
        <w:snapToGrid w:val="0"/>
        <w:spacing w:line="460" w:lineRule="atLeas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线路梳理：结合会展中心各区域面积及线路分布，定期对改扩建区域及老馆弱电线路进行整理、标识，排查老化、破损、松动问题，确保线路布局规范、安全，每半年更新一次线路分布图及区域面积适配说明。</w:t>
      </w:r>
    </w:p>
    <w:p w14:paraId="779ECB6D">
      <w:pPr>
        <w:keepNext w:val="0"/>
        <w:keepLines w:val="0"/>
        <w:pageBreakBefore w:val="0"/>
        <w:widowControl w:val="0"/>
        <w:kinsoku/>
        <w:wordWrap/>
        <w:overflowPunct/>
        <w:topLinePunct w:val="0"/>
        <w:autoSpaceDE/>
        <w:autoSpaceDN/>
        <w:bidi w:val="0"/>
        <w:adjustRightInd w:val="0"/>
        <w:snapToGrid w:val="0"/>
        <w:spacing w:line="460" w:lineRule="atLeast"/>
        <w:jc w:val="left"/>
        <w:textAlignment w:val="auto"/>
        <w:outlineLvl w:val="2"/>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14.LED屏专项维保补充要求</w:t>
      </w:r>
    </w:p>
    <w:p w14:paraId="501E4982">
      <w:pPr>
        <w:keepNext w:val="0"/>
        <w:keepLines w:val="0"/>
        <w:pageBreakBefore w:val="0"/>
        <w:widowControl w:val="0"/>
        <w:kinsoku/>
        <w:wordWrap/>
        <w:overflowPunct/>
        <w:topLinePunct w:val="0"/>
        <w:autoSpaceDE/>
        <w:autoSpaceDN/>
        <w:bidi w:val="0"/>
        <w:adjustRightInd w:val="0"/>
        <w:snapToGrid w:val="0"/>
        <w:spacing w:line="460" w:lineRule="atLeast"/>
        <w:ind w:left="420" w:left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维保范围：覆盖附件PDF中所有LED屏体，包括但不限于：</w:t>
      </w:r>
    </w:p>
    <w:p w14:paraId="7452320D">
      <w:pPr>
        <w:keepNext w:val="0"/>
        <w:keepLines w:val="0"/>
        <w:pageBreakBefore w:val="0"/>
        <w:widowControl w:val="0"/>
        <w:numPr>
          <w:ilvl w:val="0"/>
          <w:numId w:val="130"/>
        </w:numPr>
        <w:kinsoku/>
        <w:wordWrap/>
        <w:overflowPunct/>
        <w:topLinePunct w:val="0"/>
        <w:autoSpaceDE/>
        <w:autoSpaceDN/>
        <w:bidi w:val="0"/>
        <w:adjustRightInd w:val="0"/>
        <w:snapToGrid w:val="0"/>
        <w:spacing w:line="460" w:lineRule="atLeas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（已过保）A馆：中庭大屏P2.5、中庭曲屏P2.4、会议厅大屏P2.4；</w:t>
      </w:r>
    </w:p>
    <w:p w14:paraId="1FABC5AE">
      <w:pPr>
        <w:keepNext w:val="0"/>
        <w:keepLines w:val="0"/>
        <w:pageBreakBefore w:val="0"/>
        <w:widowControl w:val="0"/>
        <w:numPr>
          <w:ilvl w:val="0"/>
          <w:numId w:val="130"/>
        </w:numPr>
        <w:kinsoku/>
        <w:wordWrap/>
        <w:overflowPunct/>
        <w:topLinePunct w:val="0"/>
        <w:autoSpaceDE/>
        <w:autoSpaceDN/>
        <w:bidi w:val="0"/>
        <w:adjustRightInd w:val="0"/>
        <w:snapToGrid w:val="0"/>
        <w:spacing w:line="460" w:lineRule="atLeas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（已过保）B馆大屏P2.5、D馆一层/E馆光之颂厅大屏P2.5、D馆三层会议厅大屏P1.86、F四层十桌厅大屏P1.25；</w:t>
      </w:r>
    </w:p>
    <w:p w14:paraId="2A38A191">
      <w:pPr>
        <w:keepNext w:val="0"/>
        <w:keepLines w:val="0"/>
        <w:pageBreakBefore w:val="0"/>
        <w:widowControl w:val="0"/>
        <w:numPr>
          <w:ilvl w:val="0"/>
          <w:numId w:val="130"/>
        </w:numPr>
        <w:kinsoku/>
        <w:wordWrap/>
        <w:overflowPunct/>
        <w:topLinePunct w:val="0"/>
        <w:autoSpaceDE/>
        <w:autoSpaceDN/>
        <w:bidi w:val="0"/>
        <w:adjustRightInd w:val="0"/>
        <w:snapToGrid w:val="0"/>
        <w:spacing w:line="460" w:lineRule="atLeas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F馆长安赋厅大屏P4、F三楼多功能厅大屏P1.86、；</w:t>
      </w:r>
    </w:p>
    <w:p w14:paraId="406A8C3E">
      <w:pPr>
        <w:keepNext w:val="0"/>
        <w:keepLines w:val="0"/>
        <w:pageBreakBefore w:val="0"/>
        <w:widowControl w:val="0"/>
        <w:numPr>
          <w:ilvl w:val="0"/>
          <w:numId w:val="130"/>
        </w:numPr>
        <w:kinsoku/>
        <w:wordWrap/>
        <w:overflowPunct/>
        <w:topLinePunct w:val="0"/>
        <w:autoSpaceDE/>
        <w:autoSpaceDN/>
        <w:bidi w:val="0"/>
        <w:adjustRightInd w:val="0"/>
        <w:snapToGrid w:val="0"/>
        <w:spacing w:line="460" w:lineRule="atLeas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宴会中心各厅侧面透明辅屏P2.5、宴会中心东南角户外LED屏（3块）P3；</w:t>
      </w:r>
    </w:p>
    <w:p w14:paraId="57922081">
      <w:pPr>
        <w:keepNext w:val="0"/>
        <w:keepLines w:val="0"/>
        <w:pageBreakBefore w:val="0"/>
        <w:widowControl w:val="0"/>
        <w:numPr>
          <w:ilvl w:val="0"/>
          <w:numId w:val="130"/>
        </w:numPr>
        <w:kinsoku/>
        <w:wordWrap/>
        <w:overflowPunct/>
        <w:topLinePunct w:val="0"/>
        <w:autoSpaceDE/>
        <w:autoSpaceDN/>
        <w:bidi w:val="0"/>
        <w:adjustRightInd w:val="0"/>
        <w:snapToGrid w:val="0"/>
        <w:spacing w:line="460" w:lineRule="atLeas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各类横向/竖向广告机、发布屏。</w:t>
      </w:r>
    </w:p>
    <w:p w14:paraId="79F99252">
      <w:pPr>
        <w:keepNext w:val="0"/>
        <w:keepLines w:val="0"/>
        <w:pageBreakBefore w:val="0"/>
        <w:widowControl w:val="0"/>
        <w:kinsoku/>
        <w:wordWrap/>
        <w:overflowPunct/>
        <w:topLinePunct w:val="0"/>
        <w:autoSpaceDE/>
        <w:autoSpaceDN/>
        <w:bidi w:val="0"/>
        <w:adjustRightInd w:val="0"/>
        <w:snapToGrid w:val="0"/>
        <w:spacing w:line="460" w:lineRule="atLeast"/>
        <w:ind w:left="420" w:left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维保标准：</w:t>
      </w:r>
    </w:p>
    <w:p w14:paraId="01B5F56B">
      <w:pPr>
        <w:keepNext w:val="0"/>
        <w:keepLines w:val="0"/>
        <w:pageBreakBefore w:val="0"/>
        <w:widowControl w:val="0"/>
        <w:numPr>
          <w:ilvl w:val="0"/>
          <w:numId w:val="130"/>
        </w:numPr>
        <w:kinsoku/>
        <w:wordWrap/>
        <w:overflowPunct/>
        <w:topLinePunct w:val="0"/>
        <w:autoSpaceDE/>
        <w:autoSpaceDN/>
        <w:bidi w:val="0"/>
        <w:adjustRightInd w:val="0"/>
        <w:snapToGrid w:val="0"/>
        <w:spacing w:line="460" w:lineRule="atLeas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每日：检查屏体显示效果，排查花屏、黑屏、闪烁、色差、亮度不均等问题，记录各屏体运行状态；</w:t>
      </w:r>
    </w:p>
    <w:p w14:paraId="6FA54314">
      <w:pPr>
        <w:keepNext w:val="0"/>
        <w:keepLines w:val="0"/>
        <w:pageBreakBefore w:val="0"/>
        <w:widowControl w:val="0"/>
        <w:numPr>
          <w:ilvl w:val="0"/>
          <w:numId w:val="130"/>
        </w:numPr>
        <w:kinsoku/>
        <w:wordWrap/>
        <w:overflowPunct/>
        <w:topLinePunct w:val="0"/>
        <w:autoSpaceDE/>
        <w:autoSpaceDN/>
        <w:bidi w:val="0"/>
        <w:adjustRightInd w:val="0"/>
        <w:snapToGrid w:val="0"/>
        <w:spacing w:line="460" w:lineRule="atLeas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每周：用专用清洁剂清洁屏体表面及边框，避免划伤，检查信号源接口稳定性；</w:t>
      </w:r>
    </w:p>
    <w:p w14:paraId="42E64C28">
      <w:pPr>
        <w:keepNext w:val="0"/>
        <w:keepLines w:val="0"/>
        <w:pageBreakBefore w:val="0"/>
        <w:widowControl w:val="0"/>
        <w:numPr>
          <w:ilvl w:val="0"/>
          <w:numId w:val="130"/>
        </w:numPr>
        <w:kinsoku/>
        <w:wordWrap/>
        <w:overflowPunct/>
        <w:topLinePunct w:val="0"/>
        <w:autoSpaceDE/>
        <w:autoSpaceDN/>
        <w:bidi w:val="0"/>
        <w:adjustRightInd w:val="0"/>
        <w:snapToGrid w:val="0"/>
        <w:spacing w:line="460" w:lineRule="atLeas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每月：检测屏体控制器、电源模块，清理设备内部灰尘，记录各模块工作电流；</w:t>
      </w:r>
    </w:p>
    <w:p w14:paraId="1EBFF1DF">
      <w:pPr>
        <w:keepNext w:val="0"/>
        <w:keepLines w:val="0"/>
        <w:pageBreakBefore w:val="0"/>
        <w:widowControl w:val="0"/>
        <w:numPr>
          <w:ilvl w:val="0"/>
          <w:numId w:val="130"/>
        </w:numPr>
        <w:kinsoku/>
        <w:wordWrap/>
        <w:overflowPunct/>
        <w:topLinePunct w:val="0"/>
        <w:autoSpaceDE/>
        <w:autoSpaceDN/>
        <w:bidi w:val="0"/>
        <w:adjustRightInd w:val="0"/>
        <w:snapToGrid w:val="0"/>
        <w:spacing w:line="460" w:lineRule="atLeas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每季度：校准显示参数（亮度、对比度、色温），检查拼接缝隙及固定结构，测试备用电源及应急显示功能；</w:t>
      </w:r>
    </w:p>
    <w:p w14:paraId="2021AEC7">
      <w:pPr>
        <w:keepNext w:val="0"/>
        <w:keepLines w:val="0"/>
        <w:pageBreakBefore w:val="0"/>
        <w:widowControl w:val="0"/>
        <w:numPr>
          <w:ilvl w:val="0"/>
          <w:numId w:val="130"/>
        </w:numPr>
        <w:kinsoku/>
        <w:wordWrap/>
        <w:overflowPunct/>
        <w:topLinePunct w:val="0"/>
        <w:autoSpaceDE/>
        <w:autoSpaceDN/>
        <w:bidi w:val="0"/>
        <w:adjustRightInd w:val="0"/>
        <w:snapToGrid w:val="0"/>
        <w:spacing w:line="460" w:lineRule="atLeas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每半年：对屏体核心部件（驱动板、显示模组）进行性能检测，提交老化部件更换建议。</w:t>
      </w:r>
    </w:p>
    <w:p w14:paraId="43AF1B20">
      <w:pPr>
        <w:keepNext w:val="0"/>
        <w:keepLines w:val="0"/>
        <w:pageBreakBefore w:val="0"/>
        <w:widowControl w:val="0"/>
        <w:numPr>
          <w:ilvl w:val="0"/>
          <w:numId w:val="130"/>
        </w:numPr>
        <w:kinsoku/>
        <w:wordWrap/>
        <w:overflowPunct/>
        <w:topLinePunct w:val="0"/>
        <w:autoSpaceDE/>
        <w:autoSpaceDN/>
        <w:bidi w:val="0"/>
        <w:adjustRightInd w:val="0"/>
        <w:snapToGrid w:val="0"/>
        <w:spacing w:line="460" w:lineRule="atLeas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应急保障：大型活动及重要会议前24小时，对活动涉及的LED屏进行全面调试，确保播放软硬件操作熟练，信号对接正常；现场储备足量应急配件（如电源模块、连接线、备用模组），确保突发故障30分钟内响应处置。</w:t>
      </w:r>
    </w:p>
    <w:p w14:paraId="7BE5CB54">
      <w:pPr>
        <w:keepNext w:val="0"/>
        <w:keepLines w:val="0"/>
        <w:pageBreakBefore w:val="0"/>
        <w:widowControl w:val="0"/>
        <w:kinsoku/>
        <w:wordWrap/>
        <w:overflowPunct/>
        <w:topLinePunct w:val="0"/>
        <w:autoSpaceDE/>
        <w:autoSpaceDN/>
        <w:bidi w:val="0"/>
        <w:adjustRightInd w:val="0"/>
        <w:snapToGrid w:val="0"/>
        <w:spacing w:line="460" w:lineRule="atLeast"/>
        <w:jc w:val="left"/>
        <w:textAlignment w:val="auto"/>
        <w:outlineLvl w:val="2"/>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15.老馆弱电智能化设备及线路</w:t>
      </w:r>
    </w:p>
    <w:p w14:paraId="3710E61D">
      <w:pPr>
        <w:keepNext w:val="0"/>
        <w:keepLines w:val="0"/>
        <w:pageBreakBefore w:val="0"/>
        <w:widowControl w:val="0"/>
        <w:kinsoku/>
        <w:wordWrap/>
        <w:overflowPunct/>
        <w:topLinePunct w:val="0"/>
        <w:autoSpaceDE/>
        <w:autoSpaceDN/>
        <w:bidi w:val="0"/>
        <w:adjustRightInd w:val="0"/>
        <w:snapToGrid w:val="0"/>
        <w:spacing w:line="460" w:lineRule="atLeas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重点针对老馆（面积约4.2万平方米）网络设备、各类弱电线路及相关附属设施，结合老设备特性及区域面积分布细化维保要求，确保覆盖老馆全区域，具体如下：</w:t>
      </w:r>
    </w:p>
    <w:p w14:paraId="3A63E89E">
      <w:pPr>
        <w:keepNext w:val="0"/>
        <w:keepLines w:val="0"/>
        <w:pageBreakBefore w:val="0"/>
        <w:widowControl w:val="0"/>
        <w:numPr>
          <w:ilvl w:val="0"/>
          <w:numId w:val="131"/>
        </w:numPr>
        <w:kinsoku/>
        <w:wordWrap/>
        <w:overflowPunct/>
        <w:topLinePunct w:val="0"/>
        <w:autoSpaceDE/>
        <w:autoSpaceDN/>
        <w:bidi w:val="0"/>
        <w:adjustRightInd w:val="0"/>
        <w:snapToGrid w:val="0"/>
        <w:spacing w:line="460" w:lineRule="atLeas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网络设备（交换机、路由器、无线AP、防火墙等）：每日巡检设备运行状态，监测CPU、内存占用率（不超过70%），检查网络连接稳定性，重点关注老旧交换机端口故障率；每周测试无线覆盖信号强度，排查盲区、干扰问题，优化信道配置，对信号薄弱区域加装信号放大器；每月对设备进行重启维护（避开高峰时段，凌晨2-4点），备份配置文件，排查端口松动、线路老化问题，更换老化跳线、水晶头；每季度对老旧设备进行性能评估，测试端口带宽，对无法满足现有需求的设备提出更换建议，确保网络断网时长每月不超过1小时，无线接入成功率≥98%；每半年对网络拓扑进行优化调整，清理冗余配置，提升网络运行效率；防火墙等设备的软件续费及调试，参照改扩建区域相关要求执行，确保软件授权持续有效、功能稳定。</w:t>
      </w:r>
    </w:p>
    <w:p w14:paraId="6B327B70">
      <w:pPr>
        <w:keepNext w:val="0"/>
        <w:keepLines w:val="0"/>
        <w:pageBreakBefore w:val="0"/>
        <w:widowControl w:val="0"/>
        <w:numPr>
          <w:ilvl w:val="0"/>
          <w:numId w:val="132"/>
        </w:numPr>
        <w:kinsoku/>
        <w:wordWrap/>
        <w:overflowPunct/>
        <w:topLinePunct w:val="0"/>
        <w:autoSpaceDE/>
        <w:autoSpaceDN/>
        <w:bidi w:val="0"/>
        <w:adjustRightInd w:val="0"/>
        <w:snapToGrid w:val="0"/>
        <w:spacing w:line="460" w:lineRule="atLeas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综合布线及附属线路：每日巡检核心布线区域（弱电间、楼层桥架），排查线路裸露、破损、杂乱问题，对裸露线路进行套管防护；每周对老旧线路进行绝缘性测试（绝缘电阻≥2MΩ），处理接触不良、氧化等问题；每月整理布线桥架、线槽，规范标识，更换老化跳线、水晶头，对HSYY25x2x0.5等专用线缆进行通断测试；每季度对全馆弱电线路进行排查，绘制更新线路分布图，对存在安全隐患的线路及时整改，确保线路故障率每月不超过2次；每年对老馆线路进行全面梳理，提出线路改造优化方案，优先整改老化严重、存在安全隐患的线路段落。</w:t>
      </w:r>
    </w:p>
    <w:p w14:paraId="3B37FEA4">
      <w:pPr>
        <w:keepNext w:val="0"/>
        <w:keepLines w:val="0"/>
        <w:pageBreakBefore w:val="0"/>
        <w:widowControl w:val="0"/>
        <w:numPr>
          <w:ilvl w:val="0"/>
          <w:numId w:val="133"/>
        </w:numPr>
        <w:kinsoku/>
        <w:wordWrap/>
        <w:overflowPunct/>
        <w:topLinePunct w:val="0"/>
        <w:autoSpaceDE/>
        <w:autoSpaceDN/>
        <w:bidi w:val="0"/>
        <w:adjustRightInd w:val="0"/>
        <w:snapToGrid w:val="0"/>
        <w:spacing w:line="460" w:lineRule="atLeas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其他附属设备（监控、门禁、广播、会议相关设备等）：参照改扩建区域对应系统维保标准，结合老设备损耗情况缩短维护周期（日常巡检频次增加50%），每日重点巡检核心功能（监控画面、门禁开关、广播发声、会议设备基础功能）；每周开展全面调试，测试设备联动功能；每月进行部件检测（如监控摄像头红外功能、门禁锁芯、广播喇叭、会议调音台及灯光设备），更换易损部件；每季度记录设备损耗状态，提交老化设备更换建议，建立老设备淘汰台账，配合东拓公司做好设备更新规划。</w:t>
      </w:r>
    </w:p>
    <w:p w14:paraId="7A3524C2">
      <w:pPr>
        <w:keepNext w:val="0"/>
        <w:keepLines w:val="0"/>
        <w:pageBreakBefore w:val="0"/>
        <w:widowControl w:val="0"/>
        <w:kinsoku/>
        <w:wordWrap/>
        <w:overflowPunct/>
        <w:topLinePunct w:val="0"/>
        <w:autoSpaceDE/>
        <w:autoSpaceDN/>
        <w:bidi w:val="0"/>
        <w:adjustRightInd w:val="0"/>
        <w:snapToGrid w:val="0"/>
        <w:spacing w:line="460" w:lineRule="atLeast"/>
        <w:jc w:val="left"/>
        <w:textAlignment w:val="auto"/>
        <w:outlineLvl w:val="1"/>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（二）应急保障服务</w:t>
      </w:r>
    </w:p>
    <w:p w14:paraId="64BC6F29">
      <w:pPr>
        <w:keepNext w:val="0"/>
        <w:keepLines w:val="0"/>
        <w:pageBreakBefore w:val="0"/>
        <w:widowControl w:val="0"/>
        <w:kinsoku/>
        <w:wordWrap/>
        <w:overflowPunct/>
        <w:topLinePunct w:val="0"/>
        <w:autoSpaceDE/>
        <w:autoSpaceDN/>
        <w:bidi w:val="0"/>
        <w:adjustRightInd w:val="0"/>
        <w:snapToGrid w:val="0"/>
        <w:spacing w:line="460" w:lineRule="atLeas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针对突发故障、自然灾害、设备紧急故障等情况，提供24小时应急保障服务。维保人员需在接到应急通知后，市区范围内30分钟内赶赴现场处置，核心系统故障（如全网断网、大屏黑屏、会议系统瘫痪、冷通道空调故障等）优先抢修，全力保障系统快速恢复运行；大型活动、重要会议及操控型会议期间，提前48小时检查应急备件（如备用交换机、光模块、跳线、电源模块、大屏模组、空调配件、调音台配件等）储备情况，确保备件齐全可立即调用，现场安排专人值守，项目负责人全程统筹，配合东拓公司做好应急处置工作，故障处置完成后2小时内提交应急处置报告。</w:t>
      </w:r>
    </w:p>
    <w:p w14:paraId="63F12072">
      <w:pPr>
        <w:keepNext w:val="0"/>
        <w:keepLines w:val="0"/>
        <w:pageBreakBefore w:val="0"/>
        <w:widowControl w:val="0"/>
        <w:kinsoku/>
        <w:wordWrap/>
        <w:overflowPunct/>
        <w:topLinePunct w:val="0"/>
        <w:autoSpaceDE/>
        <w:autoSpaceDN/>
        <w:bidi w:val="0"/>
        <w:adjustRightInd w:val="0"/>
        <w:snapToGrid w:val="0"/>
        <w:spacing w:line="460" w:lineRule="atLeast"/>
        <w:jc w:val="left"/>
        <w:textAlignment w:val="auto"/>
        <w:outlineLvl w:val="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五、故障处理时限要求</w:t>
      </w:r>
    </w:p>
    <w:p w14:paraId="77ED5771">
      <w:pPr>
        <w:keepNext w:val="0"/>
        <w:keepLines w:val="0"/>
        <w:pageBreakBefore w:val="0"/>
        <w:widowControl w:val="0"/>
        <w:numPr>
          <w:ilvl w:val="0"/>
          <w:numId w:val="134"/>
        </w:numPr>
        <w:kinsoku/>
        <w:wordWrap/>
        <w:overflowPunct/>
        <w:topLinePunct w:val="0"/>
        <w:autoSpaceDE/>
        <w:autoSpaceDN/>
        <w:bidi w:val="0"/>
        <w:adjustRightInd w:val="0"/>
        <w:snapToGrid w:val="0"/>
        <w:spacing w:line="460" w:lineRule="atLeas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常规问题：指日常运营中出现的非紧急、不影响核心功能的故障（如单个网络端口故障、局部线路松动、设备轻微异响、空调滤网轻微堵塞等），需在接到故障通知后4小时内完成修复；若4小时内无法完成修复，需书面告知东拓公司原因、预计修复时间，并采取临时替代措施（如更换备用端口、临时布线、更换备用滤网等），保障基本使用需求。</w:t>
      </w:r>
    </w:p>
    <w:p w14:paraId="36D80778">
      <w:pPr>
        <w:keepNext w:val="0"/>
        <w:keepLines w:val="0"/>
        <w:pageBreakBefore w:val="0"/>
        <w:widowControl w:val="0"/>
        <w:numPr>
          <w:ilvl w:val="0"/>
          <w:numId w:val="135"/>
        </w:numPr>
        <w:kinsoku/>
        <w:wordWrap/>
        <w:overflowPunct/>
        <w:topLinePunct w:val="0"/>
        <w:autoSpaceDE/>
        <w:autoSpaceDN/>
        <w:bidi w:val="0"/>
        <w:adjustRightInd w:val="0"/>
        <w:snapToGrid w:val="0"/>
        <w:spacing w:line="460" w:lineRule="atLeas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常规活动期间故障：指常规活动开展过程中出现的故障，需在接到故障通知后2小时内完成修复；若无法在2小时内修复，需立即启动应急方案，增派人员处置，最大限度降低对活动的影响，并每30分钟向东拓公司汇报进展。</w:t>
      </w:r>
    </w:p>
    <w:p w14:paraId="7B06E9C8">
      <w:pPr>
        <w:keepNext w:val="0"/>
        <w:keepLines w:val="0"/>
        <w:pageBreakBefore w:val="0"/>
        <w:widowControl w:val="0"/>
        <w:numPr>
          <w:ilvl w:val="0"/>
          <w:numId w:val="136"/>
        </w:numPr>
        <w:kinsoku/>
        <w:wordWrap/>
        <w:overflowPunct/>
        <w:topLinePunct w:val="0"/>
        <w:autoSpaceDE/>
        <w:autoSpaceDN/>
        <w:bidi w:val="0"/>
        <w:adjustRightInd w:val="0"/>
        <w:snapToGrid w:val="0"/>
        <w:spacing w:line="460" w:lineRule="atLeas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大型活动、重要会议及操控型会议期间故障：指大型活动、重要会议及操控型会议开展过程中出现的各类故障，需在接到故障通知后30分钟内完成修复；若30分钟内无法完全修复，需采取紧急应急措施（如切换备用系统、启用备用设备、更换备用配件等），保障活动核心环节正常进行，同时持续推进故障修复，全程向东拓公司实时汇报处置情况。</w:t>
      </w:r>
    </w:p>
    <w:p w14:paraId="0DD92CB0">
      <w:pPr>
        <w:keepNext w:val="0"/>
        <w:keepLines w:val="0"/>
        <w:pageBreakBefore w:val="0"/>
        <w:widowControl w:val="0"/>
        <w:kinsoku/>
        <w:wordWrap/>
        <w:overflowPunct/>
        <w:topLinePunct w:val="0"/>
        <w:autoSpaceDE/>
        <w:autoSpaceDN/>
        <w:bidi w:val="0"/>
        <w:adjustRightInd w:val="0"/>
        <w:snapToGrid w:val="0"/>
        <w:spacing w:line="460" w:lineRule="atLeas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注：故障处理时限以东拓公司书面或口头确认故障通知时间为准，维保单位需做好故障处理记录，包括故障描述、处置过程、修复结果、耗时、责任人等，每月汇总提交东拓公司备案，故障处理记录保存期限不低于1年。</w:t>
      </w:r>
    </w:p>
    <w:p w14:paraId="07AF2B29">
      <w:pPr>
        <w:keepNext w:val="0"/>
        <w:keepLines w:val="0"/>
        <w:pageBreakBefore w:val="0"/>
        <w:widowControl w:val="0"/>
        <w:kinsoku/>
        <w:wordWrap/>
        <w:overflowPunct/>
        <w:topLinePunct w:val="0"/>
        <w:autoSpaceDE/>
        <w:autoSpaceDN/>
        <w:bidi w:val="0"/>
        <w:adjustRightInd w:val="0"/>
        <w:snapToGrid w:val="0"/>
        <w:spacing w:line="460" w:lineRule="atLeast"/>
        <w:jc w:val="left"/>
        <w:textAlignment w:val="auto"/>
        <w:outlineLvl w:val="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六、耗材及配件管理要求</w:t>
      </w:r>
    </w:p>
    <w:p w14:paraId="30AEB0E1">
      <w:pPr>
        <w:keepNext w:val="0"/>
        <w:keepLines w:val="0"/>
        <w:pageBreakBefore w:val="0"/>
        <w:widowControl w:val="0"/>
        <w:kinsoku/>
        <w:wordWrap/>
        <w:overflowPunct/>
        <w:topLinePunct w:val="0"/>
        <w:autoSpaceDE/>
        <w:autoSpaceDN/>
        <w:bidi w:val="0"/>
        <w:adjustRightInd w:val="0"/>
        <w:snapToGrid w:val="0"/>
        <w:spacing w:line="460" w:lineRule="atLeas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维保服务过程中所需的耗材、配件（如网线、水晶头、接口、小型元器件、跳线、清洁用品、空调配件、大屏播放软件相关配件、调音台配件等），单个项目或单次维修中费用在3000元（含）以内的，由维保单位承担，不单独向东拓公司申请支付；若耗材及配件费用超过3000元的（如更换交换机、大屏模组、UPS电池组、空调核心部件等），维保单位需提前向东拓公司提交耗材/配件采购申请，注明名称、规格、数量、单价、总价、使用用途及对应设备清单编号，附上原厂报价单，经东拓公司审核同意后，由维保单位负责采购及更换，采购周期不超过7个工作日（空调加试罐、内机过滤网等明确订货周期的配件按约定执行），费用按合同约定方式结算。</w:t>
      </w:r>
    </w:p>
    <w:p w14:paraId="48CDBF4A">
      <w:pPr>
        <w:keepNext w:val="0"/>
        <w:keepLines w:val="0"/>
        <w:pageBreakBefore w:val="0"/>
        <w:widowControl w:val="0"/>
        <w:kinsoku/>
        <w:wordWrap/>
        <w:overflowPunct/>
        <w:topLinePunct w:val="0"/>
        <w:autoSpaceDE/>
        <w:autoSpaceDN/>
        <w:bidi w:val="0"/>
        <w:adjustRightInd w:val="0"/>
        <w:snapToGrid w:val="0"/>
        <w:spacing w:line="460" w:lineRule="atLeas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维保单位需对耗材及配件进行规范管理，建立《耗材使用台账》，详细记录耗材名称、规格、数量、使用时间、对应设备、费用金额等信息，确保使用正品耗材（提供原厂合格证），杜绝以次充好、虚报费用等行为，东拓公司有权对耗材质量、使用情况进行核查，发现违规行为按考核条款处理。</w:t>
      </w:r>
    </w:p>
    <w:p w14:paraId="493ED6F1">
      <w:pPr>
        <w:keepNext w:val="0"/>
        <w:keepLines w:val="0"/>
        <w:pageBreakBefore w:val="0"/>
        <w:widowControl w:val="0"/>
        <w:kinsoku/>
        <w:wordWrap/>
        <w:overflowPunct/>
        <w:topLinePunct w:val="0"/>
        <w:autoSpaceDE/>
        <w:autoSpaceDN/>
        <w:bidi w:val="0"/>
        <w:adjustRightInd w:val="0"/>
        <w:snapToGrid w:val="0"/>
        <w:spacing w:line="460" w:lineRule="atLeast"/>
        <w:jc w:val="left"/>
        <w:textAlignment w:val="auto"/>
        <w:outlineLvl w:val="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七、服务质量及考核要求</w:t>
      </w:r>
    </w:p>
    <w:p w14:paraId="4EE9AF6D">
      <w:pPr>
        <w:keepNext w:val="0"/>
        <w:keepLines w:val="0"/>
        <w:pageBreakBefore w:val="0"/>
        <w:widowControl w:val="0"/>
        <w:kinsoku/>
        <w:wordWrap/>
        <w:overflowPunct/>
        <w:topLinePunct w:val="0"/>
        <w:autoSpaceDE/>
        <w:autoSpaceDN/>
        <w:bidi w:val="0"/>
        <w:adjustRightInd w:val="0"/>
        <w:snapToGrid w:val="0"/>
        <w:spacing w:line="460" w:lineRule="atLeast"/>
        <w:jc w:val="left"/>
        <w:textAlignment w:val="auto"/>
        <w:outlineLvl w:val="1"/>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（一）服务质量标准</w:t>
      </w:r>
    </w:p>
    <w:p w14:paraId="464EB510">
      <w:pPr>
        <w:keepNext w:val="0"/>
        <w:keepLines w:val="0"/>
        <w:pageBreakBefore w:val="0"/>
        <w:widowControl w:val="0"/>
        <w:numPr>
          <w:ilvl w:val="0"/>
          <w:numId w:val="137"/>
        </w:numPr>
        <w:kinsoku/>
        <w:wordWrap/>
        <w:overflowPunct/>
        <w:topLinePunct w:val="0"/>
        <w:autoSpaceDE/>
        <w:autoSpaceDN/>
        <w:bidi w:val="0"/>
        <w:adjustRightInd w:val="0"/>
        <w:snapToGrid w:val="0"/>
        <w:spacing w:line="460" w:lineRule="atLeas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系统运行稳定性：核心系统（大屏、网络、会议、监控、五方对讲、智能管控平台、冷通道空调系统）月度故障发生率不超过3次，单次故障影响范围不扩大至核心区域及重要功能；老馆设备因老化导致的故障，需提前预判并做好应急准备，每月主动上报老化设备清单及应对方案。网络断网时长每月累计不超过1小时，监控画面有效率、大屏正常显示率、五方对讲终端在线率、空调系统正常运行率均≥99%，门禁识别准确率≥99.5%，车牌识别准确率≥99%，链路连通率100%，智能管控平台数据同步准确率100%，会议设备正常运行率≥99.5%。</w:t>
      </w:r>
    </w:p>
    <w:p w14:paraId="63B2DBF8">
      <w:pPr>
        <w:keepNext w:val="0"/>
        <w:keepLines w:val="0"/>
        <w:pageBreakBefore w:val="0"/>
        <w:widowControl w:val="0"/>
        <w:numPr>
          <w:ilvl w:val="0"/>
          <w:numId w:val="138"/>
        </w:numPr>
        <w:kinsoku/>
        <w:wordWrap/>
        <w:overflowPunct/>
        <w:topLinePunct w:val="0"/>
        <w:autoSpaceDE/>
        <w:autoSpaceDN/>
        <w:bidi w:val="0"/>
        <w:adjustRightInd w:val="0"/>
        <w:snapToGrid w:val="0"/>
        <w:spacing w:line="460" w:lineRule="atLeas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维修及时性：严格遵守故障处理时限要求，常规问题4小时内修复、常规活动期间故障2小时内修复、大型活动及重要会议期间故障30分钟内修复，整体故障修复率达到100%（不可抗力因素除外）；超时故障需提前书面告知并采取应急措施，应急措施有效性达100%。</w:t>
      </w:r>
    </w:p>
    <w:p w14:paraId="41D7973A">
      <w:pPr>
        <w:keepNext w:val="0"/>
        <w:keepLines w:val="0"/>
        <w:pageBreakBefore w:val="0"/>
        <w:widowControl w:val="0"/>
        <w:numPr>
          <w:ilvl w:val="0"/>
          <w:numId w:val="139"/>
        </w:numPr>
        <w:kinsoku/>
        <w:wordWrap/>
        <w:overflowPunct/>
        <w:topLinePunct w:val="0"/>
        <w:autoSpaceDE/>
        <w:autoSpaceDN/>
        <w:bidi w:val="0"/>
        <w:adjustRightInd w:val="0"/>
        <w:snapToGrid w:val="0"/>
        <w:spacing w:line="460" w:lineRule="atLeas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人员服务规范：维保人员、会议服务保障人员及项目负责人着装统一、佩戴工牌，言行文明、服务主动；驻场人员在岗率100%，无擅自离岗、脱岗现象，请假需提前报备并安排替代人员；活动期间及会议服务保障增配人员按时到岗率100%，具备对应岗位技能（如网络调试、大屏维护、调音台操作、空调维修等）；严格遵守东拓公司规章制度，不泄露内部信息及设备配置，保密合规率100%。</w:t>
      </w:r>
    </w:p>
    <w:p w14:paraId="6F0DD8F4">
      <w:pPr>
        <w:keepNext w:val="0"/>
        <w:keepLines w:val="0"/>
        <w:pageBreakBefore w:val="0"/>
        <w:widowControl w:val="0"/>
        <w:numPr>
          <w:ilvl w:val="0"/>
          <w:numId w:val="140"/>
        </w:numPr>
        <w:kinsoku/>
        <w:wordWrap/>
        <w:overflowPunct/>
        <w:topLinePunct w:val="0"/>
        <w:autoSpaceDE/>
        <w:autoSpaceDN/>
        <w:bidi w:val="0"/>
        <w:adjustRightInd w:val="0"/>
        <w:snapToGrid w:val="0"/>
        <w:spacing w:line="460" w:lineRule="atLeas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资料完整性：每日提交《巡检记录表》（含五方对讲系统设备状态统计、管网隐患记录、空调设备运行记录），每月5日前提交上月维保工作报告（含巡检、故障处理、维护、耗材使用记录及老化设备清单），每季度提交《系统运行分析报告》（含性能参数、故障统计、优化建议，同步附智能管控平台数据统计报表），年度提供《系统运行评估报告》及设备更新、线路改造、平台优化、空调系统维护优化建议，并配合甲方提供最新核心设备配置、系统架构线路图、核心机房及汇聚间机柜设备端口图等；所有资料填写规范、数据真实，提交及时率100%、完整率100%，资料归档留存期限不低于合同期限+1年。</w:t>
      </w:r>
    </w:p>
    <w:p w14:paraId="33ABE5DE">
      <w:pPr>
        <w:keepNext w:val="0"/>
        <w:keepLines w:val="0"/>
        <w:pageBreakBefore w:val="0"/>
        <w:widowControl w:val="0"/>
        <w:numPr>
          <w:ilvl w:val="0"/>
          <w:numId w:val="141"/>
        </w:numPr>
        <w:kinsoku/>
        <w:wordWrap/>
        <w:overflowPunct/>
        <w:topLinePunct w:val="0"/>
        <w:autoSpaceDE/>
        <w:autoSpaceDN/>
        <w:bidi w:val="0"/>
        <w:adjustRightInd w:val="0"/>
        <w:snapToGrid w:val="0"/>
        <w:spacing w:line="460" w:lineRule="atLeas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耗材及设备管理：3000元（含）以内耗材自行承担，使用正品耗材，无以次充好、虚报费用现象，耗材使用记录与实际一致；超过3000元的耗材/配件，按流程提交申请，采购周期不超过7个工作日（特殊约定配件除外）；设备维护过程中无违规操作导致的二次损坏，设备完好率≥98%，老设备损耗率控制在合理范围。</w:t>
      </w:r>
    </w:p>
    <w:p w14:paraId="271C7AE9">
      <w:pPr>
        <w:keepNext w:val="0"/>
        <w:keepLines w:val="0"/>
        <w:pageBreakBefore w:val="0"/>
        <w:widowControl w:val="0"/>
        <w:numPr>
          <w:ilvl w:val="0"/>
          <w:numId w:val="142"/>
        </w:numPr>
        <w:kinsoku/>
        <w:wordWrap/>
        <w:overflowPunct/>
        <w:topLinePunct w:val="0"/>
        <w:autoSpaceDE/>
        <w:autoSpaceDN/>
        <w:bidi w:val="0"/>
        <w:adjustRightInd w:val="0"/>
        <w:snapToGrid w:val="0"/>
        <w:spacing w:line="460" w:lineRule="atLeas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应急保障能力：24小时应急响应畅通（电话、微信等联系方式全天候在线），接到应急通知后，市区范围内30分钟内赶赴现场，现场应急处置到位；大型活动、重要会议及操控型会议期间，应急备件准备齐全，应急处置成功率100%，事后及时提交处置报告。</w:t>
      </w:r>
    </w:p>
    <w:p w14:paraId="643629D3">
      <w:pPr>
        <w:keepNext w:val="0"/>
        <w:keepLines w:val="0"/>
        <w:pageBreakBefore w:val="0"/>
        <w:widowControl w:val="0"/>
        <w:kinsoku/>
        <w:wordWrap/>
        <w:overflowPunct/>
        <w:topLinePunct w:val="0"/>
        <w:autoSpaceDE/>
        <w:autoSpaceDN/>
        <w:bidi w:val="0"/>
        <w:adjustRightInd w:val="0"/>
        <w:snapToGrid w:val="0"/>
        <w:spacing w:line="460" w:lineRule="atLeast"/>
        <w:jc w:val="left"/>
        <w:textAlignment w:val="auto"/>
        <w:outlineLvl w:val="1"/>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（二）考核机制</w:t>
      </w:r>
    </w:p>
    <w:p w14:paraId="31533F60">
      <w:pPr>
        <w:keepNext w:val="0"/>
        <w:keepLines w:val="0"/>
        <w:pageBreakBefore w:val="0"/>
        <w:widowControl w:val="0"/>
        <w:kinsoku/>
        <w:wordWrap/>
        <w:overflowPunct/>
        <w:topLinePunct w:val="0"/>
        <w:autoSpaceDE/>
        <w:autoSpaceDN/>
        <w:bidi w:val="0"/>
        <w:adjustRightInd w:val="0"/>
        <w:snapToGrid w:val="0"/>
        <w:spacing w:line="460" w:lineRule="atLeas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东拓公司将定期对维保单位的服务质量进行考核，考核内容包括人员配置、故障处理、服务响应、资料提交、耗材管理、会议服务保障质量、项目负责人履职情况等方面。考核结果与服务费用支付、合同续签挂钩，若出现以下情况，东拓公司有权扣除相应服务费用，情节严重的可终止合同：</w:t>
      </w:r>
    </w:p>
    <w:p w14:paraId="197C4E32">
      <w:pPr>
        <w:keepNext w:val="0"/>
        <w:keepLines w:val="0"/>
        <w:pageBreakBefore w:val="0"/>
        <w:widowControl w:val="0"/>
        <w:kinsoku/>
        <w:wordWrap/>
        <w:overflowPunct/>
        <w:topLinePunct w:val="0"/>
        <w:autoSpaceDE/>
        <w:autoSpaceDN/>
        <w:bidi w:val="0"/>
        <w:adjustRightInd w:val="0"/>
        <w:snapToGrid w:val="0"/>
        <w:spacing w:line="460" w:lineRule="atLeas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未按要求配备项目负责人、驻场人员、活动期间增配人员或会议服务保障人员，或人员资质不达标、到岗率不达标，影响服务开展的，每次扣除当月服务费的5%-10%；项目负责人未按要求履职或擅自更换的，额外扣除当月服务费的10%。</w:t>
      </w:r>
    </w:p>
    <w:p w14:paraId="19F8EDE0">
      <w:pPr>
        <w:keepNext w:val="0"/>
        <w:keepLines w:val="0"/>
        <w:pageBreakBefore w:val="0"/>
        <w:widowControl w:val="0"/>
        <w:kinsoku/>
        <w:wordWrap/>
        <w:overflowPunct/>
        <w:topLinePunct w:val="0"/>
        <w:autoSpaceDE/>
        <w:autoSpaceDN/>
        <w:bidi w:val="0"/>
        <w:adjustRightInd w:val="0"/>
        <w:snapToGrid w:val="0"/>
        <w:spacing w:line="460" w:lineRule="atLeas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2.故障处理超时，或超时后未采取有效应急措施，造成东拓公司损失的，按损失金额的1.2倍扣除服务费，情节严重的追加处罚。</w:t>
      </w:r>
    </w:p>
    <w:p w14:paraId="5E23E05C">
      <w:pPr>
        <w:keepNext w:val="0"/>
        <w:keepLines w:val="0"/>
        <w:pageBreakBefore w:val="0"/>
        <w:widowControl w:val="0"/>
        <w:kinsoku/>
        <w:wordWrap/>
        <w:overflowPunct/>
        <w:topLinePunct w:val="0"/>
        <w:autoSpaceDE/>
        <w:autoSpaceDN/>
        <w:bidi w:val="0"/>
        <w:adjustRightInd w:val="0"/>
        <w:snapToGrid w:val="0"/>
        <w:spacing w:line="460" w:lineRule="atLeas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3.使用劣质耗材、虚报费用，或耗材使用记录与实际不符的，除责令更换耗材、退还虚报费用外，每次扣除当月服务费的10%-15%。</w:t>
      </w:r>
    </w:p>
    <w:p w14:paraId="64784B6C">
      <w:pPr>
        <w:keepNext w:val="0"/>
        <w:keepLines w:val="0"/>
        <w:pageBreakBefore w:val="0"/>
        <w:widowControl w:val="0"/>
        <w:kinsoku/>
        <w:wordWrap/>
        <w:overflowPunct/>
        <w:topLinePunct w:val="0"/>
        <w:autoSpaceDE/>
        <w:autoSpaceDN/>
        <w:bidi w:val="0"/>
        <w:adjustRightInd w:val="0"/>
        <w:snapToGrid w:val="0"/>
        <w:spacing w:line="460" w:lineRule="atLeas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4.维保人员、会议服务保障人员或项目负责人违规操作造成设备损坏或信息泄露的，承担全部维修及赔偿责任，扣除当月服务费的20%-50%，情节严重的终止合同。</w:t>
      </w:r>
    </w:p>
    <w:p w14:paraId="26E5FA86">
      <w:pPr>
        <w:keepNext w:val="0"/>
        <w:keepLines w:val="0"/>
        <w:pageBreakBefore w:val="0"/>
        <w:widowControl w:val="0"/>
        <w:kinsoku/>
        <w:wordWrap/>
        <w:overflowPunct/>
        <w:topLinePunct w:val="0"/>
        <w:autoSpaceDE/>
        <w:autoSpaceDN/>
        <w:bidi w:val="0"/>
        <w:adjustRightInd w:val="0"/>
        <w:snapToGrid w:val="0"/>
        <w:spacing w:line="460" w:lineRule="atLeas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月度考核不合格，且未按要求在3个工作日内完成整改的，扣除当月服务费的10%；连续2个月考核不合格的，终止合同续签资格；连续3个月考核不合格的，立即终止合同。重大活动保障发生2次及以上事故，直接终止合同，并追究相关责任。</w:t>
      </w:r>
    </w:p>
    <w:p w14:paraId="7473147F">
      <w:pPr>
        <w:keepNext w:val="0"/>
        <w:keepLines w:val="0"/>
        <w:pageBreakBefore w:val="0"/>
        <w:widowControl w:val="0"/>
        <w:kinsoku/>
        <w:wordWrap/>
        <w:overflowPunct/>
        <w:topLinePunct w:val="0"/>
        <w:autoSpaceDE/>
        <w:autoSpaceDN/>
        <w:bidi w:val="0"/>
        <w:adjustRightInd w:val="0"/>
        <w:snapToGrid w:val="0"/>
        <w:spacing w:line="460" w:lineRule="atLeas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6.资料提交不及时、不完整，或填写虚假数据的，每次扣除当月服务费的3%-5%，累计3次以上加倍处罚。</w:t>
      </w:r>
    </w:p>
    <w:p w14:paraId="45BC8A05">
      <w:pPr>
        <w:keepNext w:val="0"/>
        <w:keepLines w:val="0"/>
        <w:pageBreakBefore w:val="0"/>
        <w:widowControl w:val="0"/>
        <w:kinsoku/>
        <w:wordWrap/>
        <w:overflowPunct/>
        <w:topLinePunct w:val="0"/>
        <w:autoSpaceDE/>
        <w:autoSpaceDN/>
        <w:bidi w:val="0"/>
        <w:adjustRightInd w:val="0"/>
        <w:snapToGrid w:val="0"/>
        <w:spacing w:line="460" w:lineRule="atLeas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7.驻场人员擅自离岗、脱岗，或服务态度恶劣被投诉核实的，每次扣除当月服务费的2%-3%，累计3次以上更换驻场人员。</w:t>
      </w:r>
    </w:p>
    <w:p w14:paraId="150673A9">
      <w:pPr>
        <w:keepNext w:val="0"/>
        <w:keepLines w:val="0"/>
        <w:pageBreakBefore w:val="0"/>
        <w:widowControl w:val="0"/>
        <w:kinsoku/>
        <w:wordWrap/>
        <w:overflowPunct/>
        <w:topLinePunct w:val="0"/>
        <w:autoSpaceDE/>
        <w:autoSpaceDN/>
        <w:bidi w:val="0"/>
        <w:adjustRightInd w:val="0"/>
        <w:snapToGrid w:val="0"/>
        <w:spacing w:line="460" w:lineRule="atLeas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8.应急响应不及时、应急处置不到位，影响活动或会议正常开展的，每次扣除当月服务费的15%-20%。</w:t>
      </w:r>
    </w:p>
    <w:p w14:paraId="4361379C">
      <w:pPr>
        <w:keepNext w:val="0"/>
        <w:keepLines w:val="0"/>
        <w:pageBreakBefore w:val="0"/>
        <w:widowControl w:val="0"/>
        <w:kinsoku/>
        <w:wordWrap/>
        <w:overflowPunct/>
        <w:topLinePunct w:val="0"/>
        <w:autoSpaceDE/>
        <w:autoSpaceDN/>
        <w:bidi w:val="0"/>
        <w:adjustRightInd w:val="0"/>
        <w:snapToGrid w:val="0"/>
        <w:spacing w:line="460" w:lineRule="atLeas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9.会议服务保障不到位，出现设备操作失误、故障处理不及时等情况，影响会议正常进行的，每次扣除当月服务费的10%-15%；情节严重的，追加处罚并取消会议服务保障资格。</w:t>
      </w:r>
    </w:p>
    <w:p w14:paraId="77D74BA1">
      <w:pPr>
        <w:keepNext w:val="0"/>
        <w:keepLines w:val="0"/>
        <w:pageBreakBefore w:val="0"/>
        <w:widowControl w:val="0"/>
        <w:kinsoku/>
        <w:wordWrap/>
        <w:overflowPunct/>
        <w:topLinePunct w:val="0"/>
        <w:autoSpaceDE/>
        <w:autoSpaceDN/>
        <w:bidi w:val="0"/>
        <w:adjustRightInd w:val="0"/>
        <w:snapToGrid w:val="0"/>
        <w:spacing w:line="460" w:lineRule="atLeas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10.项目负责人未具备相应职称证书或证书无效的，立即终止合同，并追究相关责任。</w:t>
      </w:r>
    </w:p>
    <w:p w14:paraId="45CBF98F">
      <w:pPr>
        <w:keepNext w:val="0"/>
        <w:keepLines w:val="0"/>
        <w:pageBreakBefore w:val="0"/>
        <w:widowControl w:val="0"/>
        <w:kinsoku/>
        <w:wordWrap/>
        <w:overflowPunct/>
        <w:topLinePunct w:val="0"/>
        <w:autoSpaceDE/>
        <w:autoSpaceDN/>
        <w:bidi w:val="0"/>
        <w:adjustRightInd w:val="0"/>
        <w:snapToGrid w:val="0"/>
        <w:spacing w:line="460" w:lineRule="atLeast"/>
        <w:jc w:val="left"/>
        <w:textAlignment w:val="auto"/>
        <w:outlineLvl w:val="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八、其他要求</w:t>
      </w:r>
    </w:p>
    <w:p w14:paraId="1982AB19">
      <w:pPr>
        <w:keepNext w:val="0"/>
        <w:keepLines w:val="0"/>
        <w:pageBreakBefore w:val="0"/>
        <w:widowControl w:val="0"/>
        <w:kinsoku/>
        <w:wordWrap/>
        <w:overflowPunct/>
        <w:topLinePunct w:val="0"/>
        <w:autoSpaceDE/>
        <w:autoSpaceDN/>
        <w:bidi w:val="0"/>
        <w:adjustRightInd w:val="0"/>
        <w:snapToGrid w:val="0"/>
        <w:spacing w:line="460" w:lineRule="atLeas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1.维保单位需配备必要的维保工具、仪器设备（如网络测试仪、光功率计、OTDR、万用表、清洁工具、空调维修专用工具等）及应急耗材，确保维护工作正常开展，工具设备需定期校准，保持良好状态。</w:t>
      </w:r>
    </w:p>
    <w:p w14:paraId="2A933E1A">
      <w:pPr>
        <w:keepNext w:val="0"/>
        <w:keepLines w:val="0"/>
        <w:pageBreakBefore w:val="0"/>
        <w:widowControl w:val="0"/>
        <w:kinsoku/>
        <w:wordWrap/>
        <w:overflowPunct/>
        <w:topLinePunct w:val="0"/>
        <w:autoSpaceDE/>
        <w:autoSpaceDN/>
        <w:bidi w:val="0"/>
        <w:adjustRightInd w:val="0"/>
        <w:snapToGrid w:val="0"/>
        <w:spacing w:line="460" w:lineRule="atLeas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维保单位需对项目负责人、驻场人员及会议服务保障人员进行安全教育及技能培训，确保施工及维护过程中的人身、设备安全，严格遵守用电、防火、防静电等操作规程，若发生安全事故，由维保单位承担全部责任。</w:t>
      </w:r>
    </w:p>
    <w:p w14:paraId="2DCD5836">
      <w:pPr>
        <w:keepNext w:val="0"/>
        <w:keepLines w:val="0"/>
        <w:pageBreakBefore w:val="0"/>
        <w:widowControl w:val="0"/>
        <w:kinsoku/>
        <w:wordWrap/>
        <w:overflowPunct/>
        <w:topLinePunct w:val="0"/>
        <w:autoSpaceDE/>
        <w:autoSpaceDN/>
        <w:bidi w:val="0"/>
        <w:adjustRightInd w:val="0"/>
        <w:snapToGrid w:val="0"/>
        <w:spacing w:line="460" w:lineRule="atLeas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3.维保服务过程中，需配合东拓公司的各项检查、验收工作，及时提供相关资料（巡检记录、维护报告、测试数据、人员资质证明等），主动汇报系统运行隐患。</w:t>
      </w:r>
    </w:p>
    <w:p w14:paraId="623DF2EF">
      <w:pPr>
        <w:keepNext w:val="0"/>
        <w:keepLines w:val="0"/>
        <w:pageBreakBefore w:val="0"/>
        <w:widowControl w:val="0"/>
        <w:kinsoku/>
        <w:wordWrap/>
        <w:overflowPunct/>
        <w:topLinePunct w:val="0"/>
        <w:autoSpaceDE/>
        <w:autoSpaceDN/>
        <w:bidi w:val="0"/>
        <w:adjustRightInd w:val="0"/>
        <w:snapToGrid w:val="0"/>
        <w:spacing w:line="460" w:lineRule="atLeas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4.合同到期前1个月，维保单位需提交《服务总结报告》，详细说明服务期间的工作内容、成果、故障统计、设备状态及优化建议，配合东拓公司做好服务交接工作，移交全部维保资料及剩余耗材。</w:t>
      </w:r>
    </w:p>
    <w:p w14:paraId="5574C7F9">
      <w:pPr>
        <w:keepNext w:val="0"/>
        <w:keepLines w:val="0"/>
        <w:pageBreakBefore w:val="0"/>
        <w:widowControl w:val="0"/>
        <w:kinsoku/>
        <w:wordWrap/>
        <w:overflowPunct/>
        <w:topLinePunct w:val="0"/>
        <w:autoSpaceDE/>
        <w:autoSpaceDN/>
        <w:bidi w:val="0"/>
        <w:adjustRightInd w:val="0"/>
        <w:snapToGrid w:val="0"/>
        <w:spacing w:line="460" w:lineRule="atLeas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5、投标人中标后，须在签订合同前按招标需求配备符合要求的相应人员并送招标人备案。如中标人无法配备满足要求的人员或人员配备不全，则招标人有权取消中标单位的中标资格。</w:t>
      </w:r>
    </w:p>
    <w:p w14:paraId="7C850F5A">
      <w:pPr>
        <w:keepNext w:val="0"/>
        <w:keepLines w:val="0"/>
        <w:pageBreakBefore w:val="0"/>
        <w:widowControl w:val="0"/>
        <w:kinsoku/>
        <w:wordWrap/>
        <w:overflowPunct/>
        <w:topLinePunct w:val="0"/>
        <w:autoSpaceDE/>
        <w:autoSpaceDN/>
        <w:bidi w:val="0"/>
        <w:adjustRightInd w:val="0"/>
        <w:snapToGrid w:val="0"/>
        <w:spacing w:line="460" w:lineRule="atLeas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rPr>
        <w:t>.本需求书未尽事宜，由双方协商确定，补充条款与本需求书具有同等法律效力。</w:t>
      </w:r>
    </w:p>
    <w:p w14:paraId="5140B2B2">
      <w:pPr>
        <w:keepNext w:val="0"/>
        <w:keepLines w:val="0"/>
        <w:pageBreakBefore w:val="0"/>
        <w:widowControl w:val="0"/>
        <w:kinsoku/>
        <w:wordWrap/>
        <w:overflowPunct/>
        <w:topLinePunct w:val="0"/>
        <w:autoSpaceDE/>
        <w:autoSpaceDN/>
        <w:bidi w:val="0"/>
        <w:adjustRightInd w:val="0"/>
        <w:snapToGrid w:val="0"/>
        <w:spacing w:line="400" w:lineRule="atLeast"/>
        <w:textAlignment w:val="auto"/>
        <w:rPr>
          <w:rFonts w:hint="eastAsia" w:ascii="宋体" w:hAnsi="宋体" w:eastAsia="宋体" w:cs="宋体"/>
          <w:bCs/>
          <w:color w:val="auto"/>
          <w:sz w:val="21"/>
          <w:szCs w:val="21"/>
          <w:highlight w:val="none"/>
        </w:rPr>
      </w:pPr>
      <w:r>
        <w:rPr>
          <w:rFonts w:hint="eastAsia" w:ascii="宋体" w:hAnsi="宋体" w:eastAsia="宋体" w:cs="宋体"/>
          <w:color w:val="auto"/>
          <w:highlight w:val="none"/>
          <w:lang w:val="en-US" w:eastAsia="zh-CN"/>
        </w:rPr>
        <w:br w:type="page"/>
      </w:r>
      <w:r>
        <w:rPr>
          <w:rFonts w:hint="eastAsia" w:ascii="宋体" w:hAnsi="宋体" w:eastAsia="宋体" w:cs="宋体"/>
          <w:bCs/>
          <w:color w:val="auto"/>
          <w:sz w:val="21"/>
          <w:szCs w:val="21"/>
          <w:highlight w:val="none"/>
        </w:rPr>
        <w:t>附：考核评分表</w:t>
      </w:r>
    </w:p>
    <w:tbl>
      <w:tblPr>
        <w:tblStyle w:val="18"/>
        <w:tblW w:w="9904" w:type="dxa"/>
        <w:jc w:val="center"/>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Layout w:type="autofit"/>
        <w:tblCellMar>
          <w:top w:w="0" w:type="dxa"/>
          <w:left w:w="10" w:type="dxa"/>
          <w:bottom w:w="0" w:type="dxa"/>
          <w:right w:w="10" w:type="dxa"/>
        </w:tblCellMar>
      </w:tblPr>
      <w:tblGrid>
        <w:gridCol w:w="1236"/>
        <w:gridCol w:w="3103"/>
        <w:gridCol w:w="726"/>
        <w:gridCol w:w="2326"/>
        <w:gridCol w:w="802"/>
        <w:gridCol w:w="1711"/>
      </w:tblGrid>
      <w:tr w14:paraId="28275188">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rPr>
          <w:tblHeader/>
          <w:jc w:val="center"/>
        </w:trPr>
        <w:tc>
          <w:tcPr>
            <w:tcW w:w="1236"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038377EB">
            <w:pPr>
              <w:keepNext w:val="0"/>
              <w:keepLines w:val="0"/>
              <w:pageBreakBefore w:val="0"/>
              <w:widowControl w:val="0"/>
              <w:kinsoku/>
              <w:wordWrap/>
              <w:overflowPunct/>
              <w:topLinePunct w:val="0"/>
              <w:autoSpaceDE/>
              <w:autoSpaceDN/>
              <w:bidi w:val="0"/>
              <w:adjustRightInd w:val="0"/>
              <w:snapToGrid w:val="0"/>
              <w:spacing w:line="400" w:lineRule="atLeast"/>
              <w:jc w:val="center"/>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考核维度</w:t>
            </w:r>
          </w:p>
        </w:tc>
        <w:tc>
          <w:tcPr>
            <w:tcW w:w="3103"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556E63CC">
            <w:pPr>
              <w:keepNext w:val="0"/>
              <w:keepLines w:val="0"/>
              <w:pageBreakBefore w:val="0"/>
              <w:widowControl w:val="0"/>
              <w:kinsoku/>
              <w:wordWrap/>
              <w:overflowPunct/>
              <w:topLinePunct w:val="0"/>
              <w:autoSpaceDE/>
              <w:autoSpaceDN/>
              <w:bidi w:val="0"/>
              <w:adjustRightInd w:val="0"/>
              <w:snapToGrid w:val="0"/>
              <w:spacing w:line="400" w:lineRule="atLeast"/>
              <w:jc w:val="center"/>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考核内容</w:t>
            </w:r>
          </w:p>
        </w:tc>
        <w:tc>
          <w:tcPr>
            <w:tcW w:w="726"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54BC7287">
            <w:pPr>
              <w:keepNext w:val="0"/>
              <w:keepLines w:val="0"/>
              <w:pageBreakBefore w:val="0"/>
              <w:widowControl w:val="0"/>
              <w:kinsoku/>
              <w:wordWrap/>
              <w:overflowPunct/>
              <w:topLinePunct w:val="0"/>
              <w:autoSpaceDE/>
              <w:autoSpaceDN/>
              <w:bidi w:val="0"/>
              <w:adjustRightInd w:val="0"/>
              <w:snapToGrid w:val="0"/>
              <w:spacing w:line="400" w:lineRule="atLeast"/>
              <w:jc w:val="center"/>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分值</w:t>
            </w:r>
          </w:p>
        </w:tc>
        <w:tc>
          <w:tcPr>
            <w:tcW w:w="2326"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79FF513F">
            <w:pPr>
              <w:keepNext w:val="0"/>
              <w:keepLines w:val="0"/>
              <w:pageBreakBefore w:val="0"/>
              <w:widowControl w:val="0"/>
              <w:kinsoku/>
              <w:wordWrap/>
              <w:overflowPunct/>
              <w:topLinePunct w:val="0"/>
              <w:autoSpaceDE/>
              <w:autoSpaceDN/>
              <w:bidi w:val="0"/>
              <w:adjustRightInd w:val="0"/>
              <w:snapToGrid w:val="0"/>
              <w:spacing w:line="400" w:lineRule="atLeast"/>
              <w:jc w:val="center"/>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扣分标准</w:t>
            </w:r>
          </w:p>
        </w:tc>
        <w:tc>
          <w:tcPr>
            <w:tcW w:w="802"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3460B9E9">
            <w:pPr>
              <w:keepNext w:val="0"/>
              <w:keepLines w:val="0"/>
              <w:pageBreakBefore w:val="0"/>
              <w:widowControl w:val="0"/>
              <w:kinsoku/>
              <w:wordWrap/>
              <w:overflowPunct/>
              <w:topLinePunct w:val="0"/>
              <w:autoSpaceDE/>
              <w:autoSpaceDN/>
              <w:bidi w:val="0"/>
              <w:adjustRightInd w:val="0"/>
              <w:snapToGrid w:val="0"/>
              <w:spacing w:line="400" w:lineRule="atLeast"/>
              <w:jc w:val="center"/>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得分</w:t>
            </w:r>
          </w:p>
        </w:tc>
        <w:tc>
          <w:tcPr>
            <w:tcW w:w="1711"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3F07CAA6">
            <w:pPr>
              <w:keepNext w:val="0"/>
              <w:keepLines w:val="0"/>
              <w:pageBreakBefore w:val="0"/>
              <w:widowControl w:val="0"/>
              <w:kinsoku/>
              <w:wordWrap/>
              <w:overflowPunct/>
              <w:topLinePunct w:val="0"/>
              <w:autoSpaceDE/>
              <w:autoSpaceDN/>
              <w:bidi w:val="0"/>
              <w:adjustRightInd w:val="0"/>
              <w:snapToGrid w:val="0"/>
              <w:spacing w:line="400" w:lineRule="atLeast"/>
              <w:jc w:val="center"/>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备注</w:t>
            </w:r>
          </w:p>
        </w:tc>
      </w:tr>
      <w:tr w14:paraId="68BE9906">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rPr>
          <w:jc w:val="center"/>
        </w:trPr>
        <w:tc>
          <w:tcPr>
            <w:tcW w:w="1236"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331E198F">
            <w:pPr>
              <w:keepNext w:val="0"/>
              <w:keepLines w:val="0"/>
              <w:pageBreakBefore w:val="0"/>
              <w:widowControl w:val="0"/>
              <w:kinsoku/>
              <w:wordWrap/>
              <w:overflowPunct/>
              <w:topLinePunct w:val="0"/>
              <w:autoSpaceDE/>
              <w:autoSpaceDN/>
              <w:bidi w:val="0"/>
              <w:adjustRightInd w:val="0"/>
              <w:snapToGrid w:val="0"/>
              <w:spacing w:line="400" w:lineRule="atLeas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重大活动保障（30分）- 核心锚定值</w:t>
            </w:r>
          </w:p>
        </w:tc>
        <w:tc>
          <w:tcPr>
            <w:tcW w:w="3103"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1E75D908">
            <w:pPr>
              <w:keepNext w:val="0"/>
              <w:keepLines w:val="0"/>
              <w:pageBreakBefore w:val="0"/>
              <w:widowControl w:val="0"/>
              <w:kinsoku/>
              <w:wordWrap/>
              <w:overflowPunct/>
              <w:topLinePunct w:val="0"/>
              <w:autoSpaceDE/>
              <w:autoSpaceDN/>
              <w:bidi w:val="0"/>
              <w:adjustRightInd w:val="0"/>
              <w:snapToGrid w:val="0"/>
              <w:spacing w:line="400" w:lineRule="atLeas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 大型活动、重要会议及操控型会议期间，设备（含网络、LED屏）稳定运行，无保障事故（含网络中断/卡顿、大屏黑屏/花屏、音视频中断、信号转播故障等影响活动核心环节的问题）</w:t>
            </w:r>
          </w:p>
        </w:tc>
        <w:tc>
          <w:tcPr>
            <w:tcW w:w="726"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00CE5BBE">
            <w:pPr>
              <w:keepNext w:val="0"/>
              <w:keepLines w:val="0"/>
              <w:pageBreakBefore w:val="0"/>
              <w:widowControl w:val="0"/>
              <w:kinsoku/>
              <w:wordWrap/>
              <w:overflowPunct/>
              <w:topLinePunct w:val="0"/>
              <w:autoSpaceDE/>
              <w:autoSpaceDN/>
              <w:bidi w:val="0"/>
              <w:adjustRightInd w:val="0"/>
              <w:snapToGrid w:val="0"/>
              <w:spacing w:line="400" w:lineRule="atLeas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30分</w:t>
            </w:r>
          </w:p>
        </w:tc>
        <w:tc>
          <w:tcPr>
            <w:tcW w:w="2326"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21752B96">
            <w:pPr>
              <w:keepNext w:val="0"/>
              <w:keepLines w:val="0"/>
              <w:pageBreakBefore w:val="0"/>
              <w:widowControl w:val="0"/>
              <w:kinsoku/>
              <w:wordWrap/>
              <w:overflowPunct/>
              <w:topLinePunct w:val="0"/>
              <w:autoSpaceDE/>
              <w:autoSpaceDN/>
              <w:bidi w:val="0"/>
              <w:adjustRightInd w:val="0"/>
              <w:snapToGrid w:val="0"/>
              <w:spacing w:line="400" w:lineRule="atLeas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发生1次保障事故，直接扣30分；发生2次及以上保障事故，当期考核直接判定为不合格（＜60分）</w:t>
            </w:r>
          </w:p>
        </w:tc>
        <w:tc>
          <w:tcPr>
            <w:tcW w:w="802"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753213D8">
            <w:pPr>
              <w:keepNext w:val="0"/>
              <w:keepLines w:val="0"/>
              <w:pageBreakBefore w:val="0"/>
              <w:widowControl w:val="0"/>
              <w:kinsoku/>
              <w:wordWrap/>
              <w:overflowPunct/>
              <w:topLinePunct w:val="0"/>
              <w:autoSpaceDE/>
              <w:autoSpaceDN/>
              <w:bidi w:val="0"/>
              <w:adjustRightInd w:val="0"/>
              <w:snapToGrid w:val="0"/>
              <w:spacing w:line="400" w:lineRule="atLeast"/>
              <w:jc w:val="center"/>
              <w:textAlignment w:val="auto"/>
              <w:rPr>
                <w:rFonts w:hint="eastAsia" w:ascii="宋体" w:hAnsi="宋体" w:eastAsia="宋体" w:cs="宋体"/>
                <w:color w:val="auto"/>
                <w:sz w:val="21"/>
                <w:szCs w:val="21"/>
                <w:highlight w:val="none"/>
              </w:rPr>
            </w:pPr>
          </w:p>
        </w:tc>
        <w:tc>
          <w:tcPr>
            <w:tcW w:w="1711"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04681AA8">
            <w:pPr>
              <w:keepNext w:val="0"/>
              <w:keepLines w:val="0"/>
              <w:pageBreakBefore w:val="0"/>
              <w:widowControl w:val="0"/>
              <w:kinsoku/>
              <w:wordWrap/>
              <w:overflowPunct/>
              <w:topLinePunct w:val="0"/>
              <w:autoSpaceDE/>
              <w:autoSpaceDN/>
              <w:bidi w:val="0"/>
              <w:adjustRightInd w:val="0"/>
              <w:snapToGrid w:val="0"/>
              <w:spacing w:line="400" w:lineRule="atLeas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保障事故定义：因维保不到位导致活动中断、延期或核心功能失效，经东拓公司确认的事件，含网络及LED屏相关故障引发的事故</w:t>
            </w:r>
          </w:p>
        </w:tc>
      </w:tr>
      <w:tr w14:paraId="3C8BD53C">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rPr>
          <w:jc w:val="center"/>
        </w:trPr>
        <w:tc>
          <w:tcPr>
            <w:tcW w:w="1236" w:type="dxa"/>
            <w:vMerge w:val="restart"/>
            <w:tcBorders>
              <w:top w:val="single" w:color="auto" w:sz="4" w:space="0"/>
              <w:left w:val="single" w:color="auto" w:sz="4" w:space="0"/>
              <w:right w:val="single" w:color="auto" w:sz="4" w:space="0"/>
            </w:tcBorders>
            <w:tcMar>
              <w:top w:w="60" w:type="dxa"/>
              <w:left w:w="120" w:type="dxa"/>
              <w:bottom w:w="30" w:type="dxa"/>
              <w:right w:w="120" w:type="dxa"/>
            </w:tcMar>
            <w:vAlign w:val="center"/>
          </w:tcPr>
          <w:p w14:paraId="64964A3A">
            <w:pPr>
              <w:keepNext w:val="0"/>
              <w:keepLines w:val="0"/>
              <w:pageBreakBefore w:val="0"/>
              <w:widowControl w:val="0"/>
              <w:kinsoku/>
              <w:wordWrap/>
              <w:overflowPunct/>
              <w:topLinePunct w:val="0"/>
              <w:autoSpaceDE/>
              <w:autoSpaceDN/>
              <w:bidi w:val="0"/>
              <w:adjustRightInd w:val="0"/>
              <w:snapToGrid w:val="0"/>
              <w:spacing w:line="400" w:lineRule="atLeas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人员配置（15分）</w:t>
            </w:r>
          </w:p>
        </w:tc>
        <w:tc>
          <w:tcPr>
            <w:tcW w:w="3103"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36F98EC2">
            <w:pPr>
              <w:keepNext w:val="0"/>
              <w:keepLines w:val="0"/>
              <w:pageBreakBefore w:val="0"/>
              <w:widowControl w:val="0"/>
              <w:kinsoku/>
              <w:wordWrap/>
              <w:overflowPunct/>
              <w:topLinePunct w:val="0"/>
              <w:autoSpaceDE/>
              <w:autoSpaceDN/>
              <w:bidi w:val="0"/>
              <w:adjustRightInd w:val="0"/>
              <w:snapToGrid w:val="0"/>
              <w:spacing w:line="400" w:lineRule="atLeas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 按要求配备项目负责人（具备对应职称证书、专业背景及3年以上从业经验，含网络维保管理经验）</w:t>
            </w:r>
          </w:p>
        </w:tc>
        <w:tc>
          <w:tcPr>
            <w:tcW w:w="726"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0A10AB6E">
            <w:pPr>
              <w:keepNext w:val="0"/>
              <w:keepLines w:val="0"/>
              <w:pageBreakBefore w:val="0"/>
              <w:widowControl w:val="0"/>
              <w:kinsoku/>
              <w:wordWrap/>
              <w:overflowPunct/>
              <w:topLinePunct w:val="0"/>
              <w:autoSpaceDE/>
              <w:autoSpaceDN/>
              <w:bidi w:val="0"/>
              <w:adjustRightInd w:val="0"/>
              <w:snapToGrid w:val="0"/>
              <w:spacing w:line="400" w:lineRule="atLeas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4分</w:t>
            </w:r>
          </w:p>
        </w:tc>
        <w:tc>
          <w:tcPr>
            <w:tcW w:w="2326"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0312427F">
            <w:pPr>
              <w:keepNext w:val="0"/>
              <w:keepLines w:val="0"/>
              <w:pageBreakBefore w:val="0"/>
              <w:widowControl w:val="0"/>
              <w:kinsoku/>
              <w:wordWrap/>
              <w:overflowPunct/>
              <w:topLinePunct w:val="0"/>
              <w:autoSpaceDE/>
              <w:autoSpaceDN/>
              <w:bidi w:val="0"/>
              <w:adjustRightInd w:val="0"/>
              <w:snapToGrid w:val="0"/>
              <w:spacing w:line="400" w:lineRule="atLeas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未配备或资质不达标，扣4分；擅自更换未提前15个工作日告知，扣3分</w:t>
            </w:r>
          </w:p>
        </w:tc>
        <w:tc>
          <w:tcPr>
            <w:tcW w:w="802"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75715F44">
            <w:pPr>
              <w:keepNext w:val="0"/>
              <w:keepLines w:val="0"/>
              <w:pageBreakBefore w:val="0"/>
              <w:widowControl w:val="0"/>
              <w:kinsoku/>
              <w:wordWrap/>
              <w:overflowPunct/>
              <w:topLinePunct w:val="0"/>
              <w:autoSpaceDE/>
              <w:autoSpaceDN/>
              <w:bidi w:val="0"/>
              <w:adjustRightInd w:val="0"/>
              <w:snapToGrid w:val="0"/>
              <w:spacing w:line="400" w:lineRule="atLeast"/>
              <w:jc w:val="center"/>
              <w:textAlignment w:val="auto"/>
              <w:rPr>
                <w:rFonts w:hint="eastAsia" w:ascii="宋体" w:hAnsi="宋体" w:eastAsia="宋体" w:cs="宋体"/>
                <w:color w:val="auto"/>
                <w:sz w:val="21"/>
                <w:szCs w:val="21"/>
                <w:highlight w:val="none"/>
              </w:rPr>
            </w:pPr>
          </w:p>
        </w:tc>
        <w:tc>
          <w:tcPr>
            <w:tcW w:w="1711"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4509C08C">
            <w:pPr>
              <w:keepNext w:val="0"/>
              <w:keepLines w:val="0"/>
              <w:pageBreakBefore w:val="0"/>
              <w:widowControl w:val="0"/>
              <w:kinsoku/>
              <w:wordWrap/>
              <w:overflowPunct/>
              <w:topLinePunct w:val="0"/>
              <w:autoSpaceDE/>
              <w:autoSpaceDN/>
              <w:bidi w:val="0"/>
              <w:adjustRightInd w:val="0"/>
              <w:snapToGrid w:val="0"/>
              <w:spacing w:line="400" w:lineRule="atLeast"/>
              <w:jc w:val="left"/>
              <w:textAlignment w:val="auto"/>
              <w:rPr>
                <w:rFonts w:hint="eastAsia" w:ascii="宋体" w:hAnsi="宋体" w:eastAsia="宋体" w:cs="宋体"/>
                <w:color w:val="auto"/>
                <w:sz w:val="21"/>
                <w:szCs w:val="21"/>
                <w:highlight w:val="none"/>
              </w:rPr>
            </w:pPr>
          </w:p>
        </w:tc>
      </w:tr>
      <w:tr w14:paraId="4A4289F7">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rPr>
          <w:jc w:val="center"/>
        </w:trPr>
        <w:tc>
          <w:tcPr>
            <w:tcW w:w="1236" w:type="dxa"/>
            <w:vMerge w:val="continue"/>
            <w:tcBorders>
              <w:left w:val="single" w:color="auto" w:sz="4" w:space="0"/>
              <w:right w:val="single" w:color="auto" w:sz="4" w:space="0"/>
            </w:tcBorders>
            <w:tcMar>
              <w:top w:w="60" w:type="dxa"/>
              <w:left w:w="120" w:type="dxa"/>
              <w:bottom w:w="30" w:type="dxa"/>
              <w:right w:w="120" w:type="dxa"/>
            </w:tcMar>
            <w:vAlign w:val="center"/>
          </w:tcPr>
          <w:p w14:paraId="05321A09">
            <w:pPr>
              <w:keepNext w:val="0"/>
              <w:keepLines w:val="0"/>
              <w:pageBreakBefore w:val="0"/>
              <w:widowControl w:val="0"/>
              <w:kinsoku/>
              <w:wordWrap/>
              <w:overflowPunct/>
              <w:topLinePunct w:val="0"/>
              <w:autoSpaceDE/>
              <w:autoSpaceDN/>
              <w:bidi w:val="0"/>
              <w:adjustRightInd w:val="0"/>
              <w:snapToGrid w:val="0"/>
              <w:spacing w:line="400" w:lineRule="atLeast"/>
              <w:jc w:val="left"/>
              <w:textAlignment w:val="auto"/>
              <w:rPr>
                <w:rFonts w:hint="eastAsia" w:ascii="宋体" w:hAnsi="宋体" w:eastAsia="宋体" w:cs="宋体"/>
                <w:color w:val="auto"/>
                <w:sz w:val="21"/>
                <w:szCs w:val="21"/>
                <w:highlight w:val="none"/>
              </w:rPr>
            </w:pPr>
          </w:p>
        </w:tc>
        <w:tc>
          <w:tcPr>
            <w:tcW w:w="3103"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5391BC4A">
            <w:pPr>
              <w:keepNext w:val="0"/>
              <w:keepLines w:val="0"/>
              <w:pageBreakBefore w:val="0"/>
              <w:widowControl w:val="0"/>
              <w:kinsoku/>
              <w:wordWrap/>
              <w:overflowPunct/>
              <w:topLinePunct w:val="0"/>
              <w:autoSpaceDE/>
              <w:autoSpaceDN/>
              <w:bidi w:val="0"/>
              <w:adjustRightInd w:val="0"/>
              <w:snapToGrid w:val="0"/>
              <w:spacing w:line="400" w:lineRule="atLeas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 按要求配备专职常驻维保人员（含至少1名持证网络工程师），资质、能力符合要求，全程在岗</w:t>
            </w:r>
          </w:p>
        </w:tc>
        <w:tc>
          <w:tcPr>
            <w:tcW w:w="726"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7F447E6A">
            <w:pPr>
              <w:keepNext w:val="0"/>
              <w:keepLines w:val="0"/>
              <w:pageBreakBefore w:val="0"/>
              <w:widowControl w:val="0"/>
              <w:kinsoku/>
              <w:wordWrap/>
              <w:overflowPunct/>
              <w:topLinePunct w:val="0"/>
              <w:autoSpaceDE/>
              <w:autoSpaceDN/>
              <w:bidi w:val="0"/>
              <w:adjustRightInd w:val="0"/>
              <w:snapToGrid w:val="0"/>
              <w:spacing w:line="400" w:lineRule="atLeas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4分</w:t>
            </w:r>
          </w:p>
        </w:tc>
        <w:tc>
          <w:tcPr>
            <w:tcW w:w="2326"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1E1316BA">
            <w:pPr>
              <w:keepNext w:val="0"/>
              <w:keepLines w:val="0"/>
              <w:pageBreakBefore w:val="0"/>
              <w:widowControl w:val="0"/>
              <w:kinsoku/>
              <w:wordWrap/>
              <w:overflowPunct/>
              <w:topLinePunct w:val="0"/>
              <w:autoSpaceDE/>
              <w:autoSpaceDN/>
              <w:bidi w:val="0"/>
              <w:adjustRightInd w:val="0"/>
              <w:snapToGrid w:val="0"/>
              <w:spacing w:line="400" w:lineRule="atLeas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未配备或资质不达标，扣4分；擅自离岗、脱岗每次扣1分，累计3次以上扣3分</w:t>
            </w:r>
          </w:p>
        </w:tc>
        <w:tc>
          <w:tcPr>
            <w:tcW w:w="802"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2BC10486">
            <w:pPr>
              <w:keepNext w:val="0"/>
              <w:keepLines w:val="0"/>
              <w:pageBreakBefore w:val="0"/>
              <w:widowControl w:val="0"/>
              <w:kinsoku/>
              <w:wordWrap/>
              <w:overflowPunct/>
              <w:topLinePunct w:val="0"/>
              <w:autoSpaceDE/>
              <w:autoSpaceDN/>
              <w:bidi w:val="0"/>
              <w:adjustRightInd w:val="0"/>
              <w:snapToGrid w:val="0"/>
              <w:spacing w:line="400" w:lineRule="atLeast"/>
              <w:jc w:val="center"/>
              <w:textAlignment w:val="auto"/>
              <w:rPr>
                <w:rFonts w:hint="eastAsia" w:ascii="宋体" w:hAnsi="宋体" w:eastAsia="宋体" w:cs="宋体"/>
                <w:color w:val="auto"/>
                <w:sz w:val="21"/>
                <w:szCs w:val="21"/>
                <w:highlight w:val="none"/>
              </w:rPr>
            </w:pPr>
          </w:p>
        </w:tc>
        <w:tc>
          <w:tcPr>
            <w:tcW w:w="1711"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74319353">
            <w:pPr>
              <w:keepNext w:val="0"/>
              <w:keepLines w:val="0"/>
              <w:pageBreakBefore w:val="0"/>
              <w:widowControl w:val="0"/>
              <w:kinsoku/>
              <w:wordWrap/>
              <w:overflowPunct/>
              <w:topLinePunct w:val="0"/>
              <w:autoSpaceDE/>
              <w:autoSpaceDN/>
              <w:bidi w:val="0"/>
              <w:adjustRightInd w:val="0"/>
              <w:snapToGrid w:val="0"/>
              <w:spacing w:line="400" w:lineRule="atLeast"/>
              <w:jc w:val="left"/>
              <w:textAlignment w:val="auto"/>
              <w:rPr>
                <w:rFonts w:hint="eastAsia" w:ascii="宋体" w:hAnsi="宋体" w:eastAsia="宋体" w:cs="宋体"/>
                <w:color w:val="auto"/>
                <w:sz w:val="21"/>
                <w:szCs w:val="21"/>
                <w:highlight w:val="none"/>
              </w:rPr>
            </w:pPr>
          </w:p>
        </w:tc>
      </w:tr>
      <w:tr w14:paraId="4CF5A1D5">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rPr>
          <w:jc w:val="center"/>
        </w:trPr>
        <w:tc>
          <w:tcPr>
            <w:tcW w:w="1236" w:type="dxa"/>
            <w:vMerge w:val="continue"/>
            <w:tcBorders>
              <w:left w:val="single" w:color="auto" w:sz="4" w:space="0"/>
              <w:right w:val="single" w:color="auto" w:sz="4" w:space="0"/>
            </w:tcBorders>
            <w:tcMar>
              <w:top w:w="60" w:type="dxa"/>
              <w:left w:w="120" w:type="dxa"/>
              <w:bottom w:w="30" w:type="dxa"/>
              <w:right w:w="120" w:type="dxa"/>
            </w:tcMar>
            <w:vAlign w:val="center"/>
          </w:tcPr>
          <w:p w14:paraId="1615E94F">
            <w:pPr>
              <w:keepNext w:val="0"/>
              <w:keepLines w:val="0"/>
              <w:pageBreakBefore w:val="0"/>
              <w:widowControl w:val="0"/>
              <w:kinsoku/>
              <w:wordWrap/>
              <w:overflowPunct/>
              <w:topLinePunct w:val="0"/>
              <w:autoSpaceDE/>
              <w:autoSpaceDN/>
              <w:bidi w:val="0"/>
              <w:adjustRightInd w:val="0"/>
              <w:snapToGrid w:val="0"/>
              <w:spacing w:line="400" w:lineRule="atLeast"/>
              <w:jc w:val="left"/>
              <w:textAlignment w:val="auto"/>
              <w:rPr>
                <w:rFonts w:hint="eastAsia" w:ascii="宋体" w:hAnsi="宋体" w:eastAsia="宋体" w:cs="宋体"/>
                <w:color w:val="auto"/>
                <w:sz w:val="21"/>
                <w:szCs w:val="21"/>
                <w:highlight w:val="none"/>
              </w:rPr>
            </w:pPr>
          </w:p>
        </w:tc>
        <w:tc>
          <w:tcPr>
            <w:tcW w:w="3103"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2AFCF207">
            <w:pPr>
              <w:keepNext w:val="0"/>
              <w:keepLines w:val="0"/>
              <w:pageBreakBefore w:val="0"/>
              <w:widowControl w:val="0"/>
              <w:kinsoku/>
              <w:wordWrap/>
              <w:overflowPunct/>
              <w:topLinePunct w:val="0"/>
              <w:autoSpaceDE/>
              <w:autoSpaceDN/>
              <w:bidi w:val="0"/>
              <w:adjustRightInd w:val="0"/>
              <w:snapToGrid w:val="0"/>
              <w:spacing w:line="400" w:lineRule="atLeas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 活动期间按要求增配人员（常规活动增配1名、大型活动及重要会议增配2名，含网络保障人员）</w:t>
            </w:r>
          </w:p>
        </w:tc>
        <w:tc>
          <w:tcPr>
            <w:tcW w:w="726"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778037CB">
            <w:pPr>
              <w:keepNext w:val="0"/>
              <w:keepLines w:val="0"/>
              <w:pageBreakBefore w:val="0"/>
              <w:widowControl w:val="0"/>
              <w:kinsoku/>
              <w:wordWrap/>
              <w:overflowPunct/>
              <w:topLinePunct w:val="0"/>
              <w:autoSpaceDE/>
              <w:autoSpaceDN/>
              <w:bidi w:val="0"/>
              <w:adjustRightInd w:val="0"/>
              <w:snapToGrid w:val="0"/>
              <w:spacing w:line="400" w:lineRule="atLeas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4分</w:t>
            </w:r>
          </w:p>
        </w:tc>
        <w:tc>
          <w:tcPr>
            <w:tcW w:w="2326"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612B221C">
            <w:pPr>
              <w:keepNext w:val="0"/>
              <w:keepLines w:val="0"/>
              <w:pageBreakBefore w:val="0"/>
              <w:widowControl w:val="0"/>
              <w:kinsoku/>
              <w:wordWrap/>
              <w:overflowPunct/>
              <w:topLinePunct w:val="0"/>
              <w:autoSpaceDE/>
              <w:autoSpaceDN/>
              <w:bidi w:val="0"/>
              <w:adjustRightInd w:val="0"/>
              <w:snapToGrid w:val="0"/>
              <w:spacing w:line="400" w:lineRule="atLeas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未按要求增配，每次扣2分；增配人员到岗不及时（未在24小时内到位），每次扣1分</w:t>
            </w:r>
          </w:p>
        </w:tc>
        <w:tc>
          <w:tcPr>
            <w:tcW w:w="802"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3ECCFC75">
            <w:pPr>
              <w:keepNext w:val="0"/>
              <w:keepLines w:val="0"/>
              <w:pageBreakBefore w:val="0"/>
              <w:widowControl w:val="0"/>
              <w:kinsoku/>
              <w:wordWrap/>
              <w:overflowPunct/>
              <w:topLinePunct w:val="0"/>
              <w:autoSpaceDE/>
              <w:autoSpaceDN/>
              <w:bidi w:val="0"/>
              <w:adjustRightInd w:val="0"/>
              <w:snapToGrid w:val="0"/>
              <w:spacing w:line="400" w:lineRule="atLeast"/>
              <w:jc w:val="center"/>
              <w:textAlignment w:val="auto"/>
              <w:rPr>
                <w:rFonts w:hint="eastAsia" w:ascii="宋体" w:hAnsi="宋体" w:eastAsia="宋体" w:cs="宋体"/>
                <w:color w:val="auto"/>
                <w:sz w:val="21"/>
                <w:szCs w:val="21"/>
                <w:highlight w:val="none"/>
              </w:rPr>
            </w:pPr>
          </w:p>
        </w:tc>
        <w:tc>
          <w:tcPr>
            <w:tcW w:w="1711"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1F153B2B">
            <w:pPr>
              <w:keepNext w:val="0"/>
              <w:keepLines w:val="0"/>
              <w:pageBreakBefore w:val="0"/>
              <w:widowControl w:val="0"/>
              <w:kinsoku/>
              <w:wordWrap/>
              <w:overflowPunct/>
              <w:topLinePunct w:val="0"/>
              <w:autoSpaceDE/>
              <w:autoSpaceDN/>
              <w:bidi w:val="0"/>
              <w:adjustRightInd w:val="0"/>
              <w:snapToGrid w:val="0"/>
              <w:spacing w:line="400" w:lineRule="atLeast"/>
              <w:jc w:val="left"/>
              <w:textAlignment w:val="auto"/>
              <w:rPr>
                <w:rFonts w:hint="eastAsia" w:ascii="宋体" w:hAnsi="宋体" w:eastAsia="宋体" w:cs="宋体"/>
                <w:color w:val="auto"/>
                <w:sz w:val="21"/>
                <w:szCs w:val="21"/>
                <w:highlight w:val="none"/>
              </w:rPr>
            </w:pPr>
          </w:p>
        </w:tc>
      </w:tr>
      <w:tr w14:paraId="591AD922">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rPr>
          <w:jc w:val="center"/>
        </w:trPr>
        <w:tc>
          <w:tcPr>
            <w:tcW w:w="1236" w:type="dxa"/>
            <w:vMerge w:val="continue"/>
            <w:tcBorders>
              <w:left w:val="single" w:color="auto" w:sz="4" w:space="0"/>
              <w:bottom w:val="single" w:color="auto" w:sz="4" w:space="0"/>
              <w:right w:val="single" w:color="auto" w:sz="4" w:space="0"/>
            </w:tcBorders>
            <w:tcMar>
              <w:top w:w="60" w:type="dxa"/>
              <w:left w:w="120" w:type="dxa"/>
              <w:bottom w:w="30" w:type="dxa"/>
              <w:right w:w="120" w:type="dxa"/>
            </w:tcMar>
            <w:vAlign w:val="center"/>
          </w:tcPr>
          <w:p w14:paraId="3A32224D">
            <w:pPr>
              <w:keepNext w:val="0"/>
              <w:keepLines w:val="0"/>
              <w:pageBreakBefore w:val="0"/>
              <w:widowControl w:val="0"/>
              <w:kinsoku/>
              <w:wordWrap/>
              <w:overflowPunct/>
              <w:topLinePunct w:val="0"/>
              <w:autoSpaceDE/>
              <w:autoSpaceDN/>
              <w:bidi w:val="0"/>
              <w:adjustRightInd w:val="0"/>
              <w:snapToGrid w:val="0"/>
              <w:spacing w:line="400" w:lineRule="atLeast"/>
              <w:jc w:val="left"/>
              <w:textAlignment w:val="auto"/>
              <w:rPr>
                <w:rFonts w:hint="eastAsia" w:ascii="宋体" w:hAnsi="宋体" w:eastAsia="宋体" w:cs="宋体"/>
                <w:color w:val="auto"/>
                <w:sz w:val="21"/>
                <w:szCs w:val="21"/>
                <w:highlight w:val="none"/>
              </w:rPr>
            </w:pPr>
          </w:p>
        </w:tc>
        <w:tc>
          <w:tcPr>
            <w:tcW w:w="3103"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673CB1D7">
            <w:pPr>
              <w:keepNext w:val="0"/>
              <w:keepLines w:val="0"/>
              <w:pageBreakBefore w:val="0"/>
              <w:widowControl w:val="0"/>
              <w:kinsoku/>
              <w:wordWrap/>
              <w:overflowPunct/>
              <w:topLinePunct w:val="0"/>
              <w:autoSpaceDE/>
              <w:autoSpaceDN/>
              <w:bidi w:val="0"/>
              <w:adjustRightInd w:val="0"/>
              <w:snapToGrid w:val="0"/>
              <w:spacing w:line="400" w:lineRule="atLeas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 会议服务保障人员按要求配置，具备网络及设备协同保障技能</w:t>
            </w:r>
          </w:p>
        </w:tc>
        <w:tc>
          <w:tcPr>
            <w:tcW w:w="726"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492A067A">
            <w:pPr>
              <w:keepNext w:val="0"/>
              <w:keepLines w:val="0"/>
              <w:pageBreakBefore w:val="0"/>
              <w:widowControl w:val="0"/>
              <w:kinsoku/>
              <w:wordWrap/>
              <w:overflowPunct/>
              <w:topLinePunct w:val="0"/>
              <w:autoSpaceDE/>
              <w:autoSpaceDN/>
              <w:bidi w:val="0"/>
              <w:adjustRightInd w:val="0"/>
              <w:snapToGrid w:val="0"/>
              <w:spacing w:line="400" w:lineRule="atLeas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3分</w:t>
            </w:r>
          </w:p>
        </w:tc>
        <w:tc>
          <w:tcPr>
            <w:tcW w:w="2326"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34CF01D5">
            <w:pPr>
              <w:keepNext w:val="0"/>
              <w:keepLines w:val="0"/>
              <w:pageBreakBefore w:val="0"/>
              <w:widowControl w:val="0"/>
              <w:kinsoku/>
              <w:wordWrap/>
              <w:overflowPunct/>
              <w:topLinePunct w:val="0"/>
              <w:autoSpaceDE/>
              <w:autoSpaceDN/>
              <w:bidi w:val="0"/>
              <w:adjustRightInd w:val="0"/>
              <w:snapToGrid w:val="0"/>
              <w:spacing w:line="400" w:lineRule="atLeas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未按要求配置，每次扣2分；人员技能不达标影响会议，每次扣3分</w:t>
            </w:r>
          </w:p>
        </w:tc>
        <w:tc>
          <w:tcPr>
            <w:tcW w:w="802"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4657A836">
            <w:pPr>
              <w:keepNext w:val="0"/>
              <w:keepLines w:val="0"/>
              <w:pageBreakBefore w:val="0"/>
              <w:widowControl w:val="0"/>
              <w:kinsoku/>
              <w:wordWrap/>
              <w:overflowPunct/>
              <w:topLinePunct w:val="0"/>
              <w:autoSpaceDE/>
              <w:autoSpaceDN/>
              <w:bidi w:val="0"/>
              <w:adjustRightInd w:val="0"/>
              <w:snapToGrid w:val="0"/>
              <w:spacing w:line="400" w:lineRule="atLeast"/>
              <w:jc w:val="center"/>
              <w:textAlignment w:val="auto"/>
              <w:rPr>
                <w:rFonts w:hint="eastAsia" w:ascii="宋体" w:hAnsi="宋体" w:eastAsia="宋体" w:cs="宋体"/>
                <w:color w:val="auto"/>
                <w:sz w:val="21"/>
                <w:szCs w:val="21"/>
                <w:highlight w:val="none"/>
              </w:rPr>
            </w:pPr>
          </w:p>
        </w:tc>
        <w:tc>
          <w:tcPr>
            <w:tcW w:w="1711"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5709A279">
            <w:pPr>
              <w:keepNext w:val="0"/>
              <w:keepLines w:val="0"/>
              <w:pageBreakBefore w:val="0"/>
              <w:widowControl w:val="0"/>
              <w:kinsoku/>
              <w:wordWrap/>
              <w:overflowPunct/>
              <w:topLinePunct w:val="0"/>
              <w:autoSpaceDE/>
              <w:autoSpaceDN/>
              <w:bidi w:val="0"/>
              <w:adjustRightInd w:val="0"/>
              <w:snapToGrid w:val="0"/>
              <w:spacing w:line="400" w:lineRule="atLeast"/>
              <w:jc w:val="left"/>
              <w:textAlignment w:val="auto"/>
              <w:rPr>
                <w:rFonts w:hint="eastAsia" w:ascii="宋体" w:hAnsi="宋体" w:eastAsia="宋体" w:cs="宋体"/>
                <w:color w:val="auto"/>
                <w:sz w:val="21"/>
                <w:szCs w:val="21"/>
                <w:highlight w:val="none"/>
              </w:rPr>
            </w:pPr>
          </w:p>
        </w:tc>
      </w:tr>
      <w:tr w14:paraId="267B6E55">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rPr>
          <w:jc w:val="center"/>
        </w:trPr>
        <w:tc>
          <w:tcPr>
            <w:tcW w:w="1236" w:type="dxa"/>
            <w:vMerge w:val="restart"/>
            <w:tcBorders>
              <w:top w:val="single" w:color="auto" w:sz="4" w:space="0"/>
              <w:left w:val="single" w:color="auto" w:sz="4" w:space="0"/>
              <w:right w:val="single" w:color="auto" w:sz="4" w:space="0"/>
            </w:tcBorders>
            <w:tcMar>
              <w:top w:w="60" w:type="dxa"/>
              <w:left w:w="120" w:type="dxa"/>
              <w:bottom w:w="30" w:type="dxa"/>
              <w:right w:w="120" w:type="dxa"/>
            </w:tcMar>
            <w:vAlign w:val="center"/>
          </w:tcPr>
          <w:p w14:paraId="5B4313A5">
            <w:pPr>
              <w:keepNext w:val="0"/>
              <w:keepLines w:val="0"/>
              <w:pageBreakBefore w:val="0"/>
              <w:widowControl w:val="0"/>
              <w:kinsoku/>
              <w:wordWrap/>
              <w:overflowPunct/>
              <w:topLinePunct w:val="0"/>
              <w:autoSpaceDE/>
              <w:autoSpaceDN/>
              <w:bidi w:val="0"/>
              <w:adjustRightInd w:val="0"/>
              <w:snapToGrid w:val="0"/>
              <w:spacing w:line="400" w:lineRule="atLeas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故障处理（15分）</w:t>
            </w:r>
          </w:p>
        </w:tc>
        <w:tc>
          <w:tcPr>
            <w:tcW w:w="3103"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5929C63D">
            <w:pPr>
              <w:keepNext w:val="0"/>
              <w:keepLines w:val="0"/>
              <w:pageBreakBefore w:val="0"/>
              <w:widowControl w:val="0"/>
              <w:kinsoku/>
              <w:wordWrap/>
              <w:overflowPunct/>
              <w:topLinePunct w:val="0"/>
              <w:autoSpaceDE/>
              <w:autoSpaceDN/>
              <w:bidi w:val="0"/>
              <w:adjustRightInd w:val="0"/>
              <w:snapToGrid w:val="0"/>
              <w:spacing w:line="400" w:lineRule="atLeas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 常规网络及设备问题4小时内修复，超时需书面告知并采取临时措施</w:t>
            </w:r>
          </w:p>
        </w:tc>
        <w:tc>
          <w:tcPr>
            <w:tcW w:w="726"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4E934684">
            <w:pPr>
              <w:keepNext w:val="0"/>
              <w:keepLines w:val="0"/>
              <w:pageBreakBefore w:val="0"/>
              <w:widowControl w:val="0"/>
              <w:kinsoku/>
              <w:wordWrap/>
              <w:overflowPunct/>
              <w:topLinePunct w:val="0"/>
              <w:autoSpaceDE/>
              <w:autoSpaceDN/>
              <w:bidi w:val="0"/>
              <w:adjustRightInd w:val="0"/>
              <w:snapToGrid w:val="0"/>
              <w:spacing w:line="400" w:lineRule="atLeas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5分</w:t>
            </w:r>
          </w:p>
        </w:tc>
        <w:tc>
          <w:tcPr>
            <w:tcW w:w="2326"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6EB00F1A">
            <w:pPr>
              <w:keepNext w:val="0"/>
              <w:keepLines w:val="0"/>
              <w:pageBreakBefore w:val="0"/>
              <w:widowControl w:val="0"/>
              <w:kinsoku/>
              <w:wordWrap/>
              <w:overflowPunct/>
              <w:topLinePunct w:val="0"/>
              <w:autoSpaceDE/>
              <w:autoSpaceDN/>
              <w:bidi w:val="0"/>
              <w:adjustRightInd w:val="0"/>
              <w:snapToGrid w:val="0"/>
              <w:spacing w:line="400" w:lineRule="atLeas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超时未修复且未采取措施，每次扣3分；未书面告知，每次扣1分</w:t>
            </w:r>
          </w:p>
        </w:tc>
        <w:tc>
          <w:tcPr>
            <w:tcW w:w="802"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6D466D29">
            <w:pPr>
              <w:keepNext w:val="0"/>
              <w:keepLines w:val="0"/>
              <w:pageBreakBefore w:val="0"/>
              <w:widowControl w:val="0"/>
              <w:kinsoku/>
              <w:wordWrap/>
              <w:overflowPunct/>
              <w:topLinePunct w:val="0"/>
              <w:autoSpaceDE/>
              <w:autoSpaceDN/>
              <w:bidi w:val="0"/>
              <w:adjustRightInd w:val="0"/>
              <w:snapToGrid w:val="0"/>
              <w:spacing w:line="400" w:lineRule="atLeast"/>
              <w:jc w:val="center"/>
              <w:textAlignment w:val="auto"/>
              <w:rPr>
                <w:rFonts w:hint="eastAsia" w:ascii="宋体" w:hAnsi="宋体" w:eastAsia="宋体" w:cs="宋体"/>
                <w:color w:val="auto"/>
                <w:sz w:val="21"/>
                <w:szCs w:val="21"/>
                <w:highlight w:val="none"/>
              </w:rPr>
            </w:pPr>
          </w:p>
        </w:tc>
        <w:tc>
          <w:tcPr>
            <w:tcW w:w="1711"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4C71B4BD">
            <w:pPr>
              <w:keepNext w:val="0"/>
              <w:keepLines w:val="0"/>
              <w:pageBreakBefore w:val="0"/>
              <w:widowControl w:val="0"/>
              <w:kinsoku/>
              <w:wordWrap/>
              <w:overflowPunct/>
              <w:topLinePunct w:val="0"/>
              <w:autoSpaceDE/>
              <w:autoSpaceDN/>
              <w:bidi w:val="0"/>
              <w:adjustRightInd w:val="0"/>
              <w:snapToGrid w:val="0"/>
              <w:spacing w:line="400" w:lineRule="atLeast"/>
              <w:jc w:val="left"/>
              <w:textAlignment w:val="auto"/>
              <w:rPr>
                <w:rFonts w:hint="eastAsia" w:ascii="宋体" w:hAnsi="宋体" w:eastAsia="宋体" w:cs="宋体"/>
                <w:color w:val="auto"/>
                <w:sz w:val="21"/>
                <w:szCs w:val="21"/>
                <w:highlight w:val="none"/>
              </w:rPr>
            </w:pPr>
          </w:p>
        </w:tc>
      </w:tr>
      <w:tr w14:paraId="3C814F2A">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rPr>
          <w:jc w:val="center"/>
        </w:trPr>
        <w:tc>
          <w:tcPr>
            <w:tcW w:w="1236" w:type="dxa"/>
            <w:vMerge w:val="continue"/>
            <w:tcBorders>
              <w:left w:val="single" w:color="auto" w:sz="4" w:space="0"/>
              <w:right w:val="single" w:color="auto" w:sz="4" w:space="0"/>
            </w:tcBorders>
            <w:tcMar>
              <w:top w:w="60" w:type="dxa"/>
              <w:left w:w="120" w:type="dxa"/>
              <w:bottom w:w="30" w:type="dxa"/>
              <w:right w:w="120" w:type="dxa"/>
            </w:tcMar>
            <w:vAlign w:val="center"/>
          </w:tcPr>
          <w:p w14:paraId="5BD03044">
            <w:pPr>
              <w:keepNext w:val="0"/>
              <w:keepLines w:val="0"/>
              <w:pageBreakBefore w:val="0"/>
              <w:widowControl w:val="0"/>
              <w:kinsoku/>
              <w:wordWrap/>
              <w:overflowPunct/>
              <w:topLinePunct w:val="0"/>
              <w:autoSpaceDE/>
              <w:autoSpaceDN/>
              <w:bidi w:val="0"/>
              <w:adjustRightInd w:val="0"/>
              <w:snapToGrid w:val="0"/>
              <w:spacing w:line="400" w:lineRule="atLeast"/>
              <w:jc w:val="left"/>
              <w:textAlignment w:val="auto"/>
              <w:rPr>
                <w:rFonts w:hint="eastAsia" w:ascii="宋体" w:hAnsi="宋体" w:eastAsia="宋体" w:cs="宋体"/>
                <w:color w:val="auto"/>
                <w:sz w:val="21"/>
                <w:szCs w:val="21"/>
                <w:highlight w:val="none"/>
              </w:rPr>
            </w:pPr>
          </w:p>
        </w:tc>
        <w:tc>
          <w:tcPr>
            <w:tcW w:w="3103"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006B671C">
            <w:pPr>
              <w:keepNext w:val="0"/>
              <w:keepLines w:val="0"/>
              <w:pageBreakBefore w:val="0"/>
              <w:widowControl w:val="0"/>
              <w:kinsoku/>
              <w:wordWrap/>
              <w:overflowPunct/>
              <w:topLinePunct w:val="0"/>
              <w:autoSpaceDE/>
              <w:autoSpaceDN/>
              <w:bidi w:val="0"/>
              <w:adjustRightInd w:val="0"/>
              <w:snapToGrid w:val="0"/>
              <w:spacing w:line="400" w:lineRule="atLeas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 常规活动期间网络及设备故障2小时内修复，超时启动应急方案并汇报进展</w:t>
            </w:r>
          </w:p>
        </w:tc>
        <w:tc>
          <w:tcPr>
            <w:tcW w:w="726"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67FBD33B">
            <w:pPr>
              <w:keepNext w:val="0"/>
              <w:keepLines w:val="0"/>
              <w:pageBreakBefore w:val="0"/>
              <w:widowControl w:val="0"/>
              <w:kinsoku/>
              <w:wordWrap/>
              <w:overflowPunct/>
              <w:topLinePunct w:val="0"/>
              <w:autoSpaceDE/>
              <w:autoSpaceDN/>
              <w:bidi w:val="0"/>
              <w:adjustRightInd w:val="0"/>
              <w:snapToGrid w:val="0"/>
              <w:spacing w:line="400" w:lineRule="atLeas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5分</w:t>
            </w:r>
          </w:p>
        </w:tc>
        <w:tc>
          <w:tcPr>
            <w:tcW w:w="2326"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1907AEE8">
            <w:pPr>
              <w:keepNext w:val="0"/>
              <w:keepLines w:val="0"/>
              <w:pageBreakBefore w:val="0"/>
              <w:widowControl w:val="0"/>
              <w:kinsoku/>
              <w:wordWrap/>
              <w:overflowPunct/>
              <w:topLinePunct w:val="0"/>
              <w:autoSpaceDE/>
              <w:autoSpaceDN/>
              <w:bidi w:val="0"/>
              <w:adjustRightInd w:val="0"/>
              <w:snapToGrid w:val="0"/>
              <w:spacing w:line="400" w:lineRule="atLeas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超时未修复且未启动应急方案，每次扣4分；未按时汇报进展，每次扣1分</w:t>
            </w:r>
          </w:p>
        </w:tc>
        <w:tc>
          <w:tcPr>
            <w:tcW w:w="802"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64D00651">
            <w:pPr>
              <w:keepNext w:val="0"/>
              <w:keepLines w:val="0"/>
              <w:pageBreakBefore w:val="0"/>
              <w:widowControl w:val="0"/>
              <w:kinsoku/>
              <w:wordWrap/>
              <w:overflowPunct/>
              <w:topLinePunct w:val="0"/>
              <w:autoSpaceDE/>
              <w:autoSpaceDN/>
              <w:bidi w:val="0"/>
              <w:adjustRightInd w:val="0"/>
              <w:snapToGrid w:val="0"/>
              <w:spacing w:line="400" w:lineRule="atLeast"/>
              <w:jc w:val="center"/>
              <w:textAlignment w:val="auto"/>
              <w:rPr>
                <w:rFonts w:hint="eastAsia" w:ascii="宋体" w:hAnsi="宋体" w:eastAsia="宋体" w:cs="宋体"/>
                <w:color w:val="auto"/>
                <w:sz w:val="21"/>
                <w:szCs w:val="21"/>
                <w:highlight w:val="none"/>
              </w:rPr>
            </w:pPr>
          </w:p>
        </w:tc>
        <w:tc>
          <w:tcPr>
            <w:tcW w:w="1711"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5D6B29DE">
            <w:pPr>
              <w:keepNext w:val="0"/>
              <w:keepLines w:val="0"/>
              <w:pageBreakBefore w:val="0"/>
              <w:widowControl w:val="0"/>
              <w:kinsoku/>
              <w:wordWrap/>
              <w:overflowPunct/>
              <w:topLinePunct w:val="0"/>
              <w:autoSpaceDE/>
              <w:autoSpaceDN/>
              <w:bidi w:val="0"/>
              <w:adjustRightInd w:val="0"/>
              <w:snapToGrid w:val="0"/>
              <w:spacing w:line="400" w:lineRule="atLeast"/>
              <w:jc w:val="left"/>
              <w:textAlignment w:val="auto"/>
              <w:rPr>
                <w:rFonts w:hint="eastAsia" w:ascii="宋体" w:hAnsi="宋体" w:eastAsia="宋体" w:cs="宋体"/>
                <w:color w:val="auto"/>
                <w:sz w:val="21"/>
                <w:szCs w:val="21"/>
                <w:highlight w:val="none"/>
              </w:rPr>
            </w:pPr>
          </w:p>
        </w:tc>
      </w:tr>
      <w:tr w14:paraId="3BD1C8E7">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rPr>
          <w:jc w:val="center"/>
        </w:trPr>
        <w:tc>
          <w:tcPr>
            <w:tcW w:w="1236" w:type="dxa"/>
            <w:vMerge w:val="continue"/>
            <w:tcBorders>
              <w:left w:val="single" w:color="auto" w:sz="4" w:space="0"/>
              <w:bottom w:val="single" w:color="auto" w:sz="4" w:space="0"/>
              <w:right w:val="single" w:color="auto" w:sz="4" w:space="0"/>
            </w:tcBorders>
            <w:tcMar>
              <w:top w:w="60" w:type="dxa"/>
              <w:left w:w="120" w:type="dxa"/>
              <w:bottom w:w="30" w:type="dxa"/>
              <w:right w:w="120" w:type="dxa"/>
            </w:tcMar>
            <w:vAlign w:val="center"/>
          </w:tcPr>
          <w:p w14:paraId="33EA7929">
            <w:pPr>
              <w:keepNext w:val="0"/>
              <w:keepLines w:val="0"/>
              <w:pageBreakBefore w:val="0"/>
              <w:widowControl w:val="0"/>
              <w:kinsoku/>
              <w:wordWrap/>
              <w:overflowPunct/>
              <w:topLinePunct w:val="0"/>
              <w:autoSpaceDE/>
              <w:autoSpaceDN/>
              <w:bidi w:val="0"/>
              <w:adjustRightInd w:val="0"/>
              <w:snapToGrid w:val="0"/>
              <w:spacing w:line="400" w:lineRule="atLeast"/>
              <w:jc w:val="left"/>
              <w:textAlignment w:val="auto"/>
              <w:rPr>
                <w:rFonts w:hint="eastAsia" w:ascii="宋体" w:hAnsi="宋体" w:eastAsia="宋体" w:cs="宋体"/>
                <w:color w:val="auto"/>
                <w:sz w:val="21"/>
                <w:szCs w:val="21"/>
                <w:highlight w:val="none"/>
              </w:rPr>
            </w:pPr>
          </w:p>
        </w:tc>
        <w:tc>
          <w:tcPr>
            <w:tcW w:w="3103"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2FCE4CBB">
            <w:pPr>
              <w:keepNext w:val="0"/>
              <w:keepLines w:val="0"/>
              <w:pageBreakBefore w:val="0"/>
              <w:widowControl w:val="0"/>
              <w:kinsoku/>
              <w:wordWrap/>
              <w:overflowPunct/>
              <w:topLinePunct w:val="0"/>
              <w:autoSpaceDE/>
              <w:autoSpaceDN/>
              <w:bidi w:val="0"/>
              <w:adjustRightInd w:val="0"/>
              <w:snapToGrid w:val="0"/>
              <w:spacing w:line="400" w:lineRule="atLeas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 大型活动、重要会议期间网络及设备故障30分钟内修复，超时采取紧急应急措施</w:t>
            </w:r>
          </w:p>
        </w:tc>
        <w:tc>
          <w:tcPr>
            <w:tcW w:w="726"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4A328CE4">
            <w:pPr>
              <w:keepNext w:val="0"/>
              <w:keepLines w:val="0"/>
              <w:pageBreakBefore w:val="0"/>
              <w:widowControl w:val="0"/>
              <w:kinsoku/>
              <w:wordWrap/>
              <w:overflowPunct/>
              <w:topLinePunct w:val="0"/>
              <w:autoSpaceDE/>
              <w:autoSpaceDN/>
              <w:bidi w:val="0"/>
              <w:adjustRightInd w:val="0"/>
              <w:snapToGrid w:val="0"/>
              <w:spacing w:line="400" w:lineRule="atLeas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5分</w:t>
            </w:r>
          </w:p>
        </w:tc>
        <w:tc>
          <w:tcPr>
            <w:tcW w:w="2326"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66049AF2">
            <w:pPr>
              <w:keepNext w:val="0"/>
              <w:keepLines w:val="0"/>
              <w:pageBreakBefore w:val="0"/>
              <w:widowControl w:val="0"/>
              <w:kinsoku/>
              <w:wordWrap/>
              <w:overflowPunct/>
              <w:topLinePunct w:val="0"/>
              <w:autoSpaceDE/>
              <w:autoSpaceDN/>
              <w:bidi w:val="0"/>
              <w:adjustRightInd w:val="0"/>
              <w:snapToGrid w:val="0"/>
              <w:spacing w:line="400" w:lineRule="atLeas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超时未修复且未采取紧急措施，每次扣3分；未实时汇报处置情况，每次扣2分</w:t>
            </w:r>
          </w:p>
        </w:tc>
        <w:tc>
          <w:tcPr>
            <w:tcW w:w="802"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4CD49B99">
            <w:pPr>
              <w:keepNext w:val="0"/>
              <w:keepLines w:val="0"/>
              <w:pageBreakBefore w:val="0"/>
              <w:widowControl w:val="0"/>
              <w:kinsoku/>
              <w:wordWrap/>
              <w:overflowPunct/>
              <w:topLinePunct w:val="0"/>
              <w:autoSpaceDE/>
              <w:autoSpaceDN/>
              <w:bidi w:val="0"/>
              <w:adjustRightInd w:val="0"/>
              <w:snapToGrid w:val="0"/>
              <w:spacing w:line="400" w:lineRule="atLeast"/>
              <w:jc w:val="center"/>
              <w:textAlignment w:val="auto"/>
              <w:rPr>
                <w:rFonts w:hint="eastAsia" w:ascii="宋体" w:hAnsi="宋体" w:eastAsia="宋体" w:cs="宋体"/>
                <w:color w:val="auto"/>
                <w:sz w:val="21"/>
                <w:szCs w:val="21"/>
                <w:highlight w:val="none"/>
              </w:rPr>
            </w:pPr>
          </w:p>
        </w:tc>
        <w:tc>
          <w:tcPr>
            <w:tcW w:w="1711"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0E7E809C">
            <w:pPr>
              <w:keepNext w:val="0"/>
              <w:keepLines w:val="0"/>
              <w:pageBreakBefore w:val="0"/>
              <w:widowControl w:val="0"/>
              <w:kinsoku/>
              <w:wordWrap/>
              <w:overflowPunct/>
              <w:topLinePunct w:val="0"/>
              <w:autoSpaceDE/>
              <w:autoSpaceDN/>
              <w:bidi w:val="0"/>
              <w:adjustRightInd w:val="0"/>
              <w:snapToGrid w:val="0"/>
              <w:spacing w:line="400" w:lineRule="atLeast"/>
              <w:jc w:val="left"/>
              <w:textAlignment w:val="auto"/>
              <w:rPr>
                <w:rFonts w:hint="eastAsia" w:ascii="宋体" w:hAnsi="宋体" w:eastAsia="宋体" w:cs="宋体"/>
                <w:color w:val="auto"/>
                <w:sz w:val="21"/>
                <w:szCs w:val="21"/>
                <w:highlight w:val="none"/>
              </w:rPr>
            </w:pPr>
          </w:p>
        </w:tc>
      </w:tr>
      <w:tr w14:paraId="502F53F4">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rPr>
          <w:jc w:val="center"/>
        </w:trPr>
        <w:tc>
          <w:tcPr>
            <w:tcW w:w="1236" w:type="dxa"/>
            <w:vMerge w:val="restart"/>
            <w:tcBorders>
              <w:top w:val="single" w:color="auto" w:sz="4" w:space="0"/>
              <w:left w:val="single" w:color="auto" w:sz="4" w:space="0"/>
              <w:right w:val="single" w:color="auto" w:sz="4" w:space="0"/>
            </w:tcBorders>
            <w:tcMar>
              <w:top w:w="60" w:type="dxa"/>
              <w:left w:w="120" w:type="dxa"/>
              <w:bottom w:w="30" w:type="dxa"/>
              <w:right w:w="120" w:type="dxa"/>
            </w:tcMar>
            <w:vAlign w:val="center"/>
          </w:tcPr>
          <w:p w14:paraId="1C9B7BBF">
            <w:pPr>
              <w:keepNext w:val="0"/>
              <w:keepLines w:val="0"/>
              <w:pageBreakBefore w:val="0"/>
              <w:widowControl w:val="0"/>
              <w:kinsoku/>
              <w:wordWrap/>
              <w:overflowPunct/>
              <w:topLinePunct w:val="0"/>
              <w:autoSpaceDE/>
              <w:autoSpaceDN/>
              <w:bidi w:val="0"/>
              <w:adjustRightInd w:val="0"/>
              <w:snapToGrid w:val="0"/>
              <w:spacing w:line="400" w:lineRule="atLeas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网络系统维保（10分）- 核心支撑项</w:t>
            </w:r>
          </w:p>
        </w:tc>
        <w:tc>
          <w:tcPr>
            <w:tcW w:w="3103"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4E42E435">
            <w:pPr>
              <w:keepNext w:val="0"/>
              <w:keepLines w:val="0"/>
              <w:pageBreakBefore w:val="0"/>
              <w:widowControl w:val="0"/>
              <w:kinsoku/>
              <w:wordWrap/>
              <w:overflowPunct/>
              <w:topLinePunct w:val="0"/>
              <w:autoSpaceDE/>
              <w:autoSpaceDN/>
              <w:bidi w:val="0"/>
              <w:adjustRightInd w:val="0"/>
              <w:snapToGrid w:val="0"/>
              <w:spacing w:line="400" w:lineRule="atLeas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 每日巡检核心交换机、路由器、防火墙、无线AP等网络设备，排查断网、卡顿、丢包等故障，保障网络链路通畅</w:t>
            </w:r>
          </w:p>
        </w:tc>
        <w:tc>
          <w:tcPr>
            <w:tcW w:w="726"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2D3ACB20">
            <w:pPr>
              <w:keepNext w:val="0"/>
              <w:keepLines w:val="0"/>
              <w:pageBreakBefore w:val="0"/>
              <w:widowControl w:val="0"/>
              <w:kinsoku/>
              <w:wordWrap/>
              <w:overflowPunct/>
              <w:topLinePunct w:val="0"/>
              <w:autoSpaceDE/>
              <w:autoSpaceDN/>
              <w:bidi w:val="0"/>
              <w:adjustRightInd w:val="0"/>
              <w:snapToGrid w:val="0"/>
              <w:spacing w:line="400" w:lineRule="atLeas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3分</w:t>
            </w:r>
          </w:p>
        </w:tc>
        <w:tc>
          <w:tcPr>
            <w:tcW w:w="2326"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61154D22">
            <w:pPr>
              <w:keepNext w:val="0"/>
              <w:keepLines w:val="0"/>
              <w:pageBreakBefore w:val="0"/>
              <w:widowControl w:val="0"/>
              <w:kinsoku/>
              <w:wordWrap/>
              <w:overflowPunct/>
              <w:topLinePunct w:val="0"/>
              <w:autoSpaceDE/>
              <w:autoSpaceDN/>
              <w:bidi w:val="0"/>
              <w:adjustRightInd w:val="0"/>
              <w:snapToGrid w:val="0"/>
              <w:spacing w:line="400" w:lineRule="atLeas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未全覆盖巡检每次扣1分；漏报网络故障每次扣1分，引发轻微影响加扣2分</w:t>
            </w:r>
          </w:p>
        </w:tc>
        <w:tc>
          <w:tcPr>
            <w:tcW w:w="802"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65E59807">
            <w:pPr>
              <w:keepNext w:val="0"/>
              <w:keepLines w:val="0"/>
              <w:pageBreakBefore w:val="0"/>
              <w:widowControl w:val="0"/>
              <w:kinsoku/>
              <w:wordWrap/>
              <w:overflowPunct/>
              <w:topLinePunct w:val="0"/>
              <w:autoSpaceDE/>
              <w:autoSpaceDN/>
              <w:bidi w:val="0"/>
              <w:adjustRightInd w:val="0"/>
              <w:snapToGrid w:val="0"/>
              <w:spacing w:line="400" w:lineRule="atLeast"/>
              <w:jc w:val="center"/>
              <w:textAlignment w:val="auto"/>
              <w:rPr>
                <w:rFonts w:hint="eastAsia" w:ascii="宋体" w:hAnsi="宋体" w:eastAsia="宋体" w:cs="宋体"/>
                <w:color w:val="auto"/>
                <w:sz w:val="21"/>
                <w:szCs w:val="21"/>
                <w:highlight w:val="none"/>
              </w:rPr>
            </w:pPr>
          </w:p>
        </w:tc>
        <w:tc>
          <w:tcPr>
            <w:tcW w:w="1711"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15465862">
            <w:pPr>
              <w:keepNext w:val="0"/>
              <w:keepLines w:val="0"/>
              <w:pageBreakBefore w:val="0"/>
              <w:widowControl w:val="0"/>
              <w:kinsoku/>
              <w:wordWrap/>
              <w:overflowPunct/>
              <w:topLinePunct w:val="0"/>
              <w:autoSpaceDE/>
              <w:autoSpaceDN/>
              <w:bidi w:val="0"/>
              <w:adjustRightInd w:val="0"/>
              <w:snapToGrid w:val="0"/>
              <w:spacing w:line="400" w:lineRule="atLeas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含与LED屏、音视频设备联动的网络链路检测</w:t>
            </w:r>
          </w:p>
        </w:tc>
      </w:tr>
      <w:tr w14:paraId="1FFFD206">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rPr>
          <w:jc w:val="center"/>
        </w:trPr>
        <w:tc>
          <w:tcPr>
            <w:tcW w:w="1236" w:type="dxa"/>
            <w:vMerge w:val="continue"/>
            <w:tcBorders>
              <w:left w:val="single" w:color="auto" w:sz="4" w:space="0"/>
              <w:right w:val="single" w:color="auto" w:sz="4" w:space="0"/>
            </w:tcBorders>
            <w:tcMar>
              <w:top w:w="60" w:type="dxa"/>
              <w:left w:w="120" w:type="dxa"/>
              <w:bottom w:w="30" w:type="dxa"/>
              <w:right w:w="120" w:type="dxa"/>
            </w:tcMar>
            <w:vAlign w:val="center"/>
          </w:tcPr>
          <w:p w14:paraId="7B568EEA">
            <w:pPr>
              <w:keepNext w:val="0"/>
              <w:keepLines w:val="0"/>
              <w:pageBreakBefore w:val="0"/>
              <w:widowControl w:val="0"/>
              <w:kinsoku/>
              <w:wordWrap/>
              <w:overflowPunct/>
              <w:topLinePunct w:val="0"/>
              <w:autoSpaceDE/>
              <w:autoSpaceDN/>
              <w:bidi w:val="0"/>
              <w:adjustRightInd w:val="0"/>
              <w:snapToGrid w:val="0"/>
              <w:spacing w:line="400" w:lineRule="atLeast"/>
              <w:jc w:val="left"/>
              <w:textAlignment w:val="auto"/>
              <w:rPr>
                <w:rFonts w:hint="eastAsia" w:ascii="宋体" w:hAnsi="宋体" w:eastAsia="宋体" w:cs="宋体"/>
                <w:color w:val="auto"/>
                <w:sz w:val="21"/>
                <w:szCs w:val="21"/>
                <w:highlight w:val="none"/>
              </w:rPr>
            </w:pPr>
          </w:p>
        </w:tc>
        <w:tc>
          <w:tcPr>
            <w:tcW w:w="3103"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35B103E2">
            <w:pPr>
              <w:keepNext w:val="0"/>
              <w:keepLines w:val="0"/>
              <w:pageBreakBefore w:val="0"/>
              <w:widowControl w:val="0"/>
              <w:kinsoku/>
              <w:wordWrap/>
              <w:overflowPunct/>
              <w:topLinePunct w:val="0"/>
              <w:autoSpaceDE/>
              <w:autoSpaceDN/>
              <w:bidi w:val="0"/>
              <w:adjustRightInd w:val="0"/>
              <w:snapToGrid w:val="0"/>
              <w:spacing w:line="400" w:lineRule="atLeas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 每周优化网络配置，每月检测网络带宽、延迟、稳定性，每季度进行网络安全漏洞扫描及补丁更新</w:t>
            </w:r>
          </w:p>
        </w:tc>
        <w:tc>
          <w:tcPr>
            <w:tcW w:w="726"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640EC83E">
            <w:pPr>
              <w:keepNext w:val="0"/>
              <w:keepLines w:val="0"/>
              <w:pageBreakBefore w:val="0"/>
              <w:widowControl w:val="0"/>
              <w:kinsoku/>
              <w:wordWrap/>
              <w:overflowPunct/>
              <w:topLinePunct w:val="0"/>
              <w:autoSpaceDE/>
              <w:autoSpaceDN/>
              <w:bidi w:val="0"/>
              <w:adjustRightInd w:val="0"/>
              <w:snapToGrid w:val="0"/>
              <w:spacing w:line="400" w:lineRule="atLeas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3分</w:t>
            </w:r>
          </w:p>
        </w:tc>
        <w:tc>
          <w:tcPr>
            <w:tcW w:w="2326"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7D7D4E7E">
            <w:pPr>
              <w:keepNext w:val="0"/>
              <w:keepLines w:val="0"/>
              <w:pageBreakBefore w:val="0"/>
              <w:widowControl w:val="0"/>
              <w:kinsoku/>
              <w:wordWrap/>
              <w:overflowPunct/>
              <w:topLinePunct w:val="0"/>
              <w:autoSpaceDE/>
              <w:autoSpaceDN/>
              <w:bidi w:val="0"/>
              <w:adjustRightInd w:val="0"/>
              <w:snapToGrid w:val="0"/>
              <w:spacing w:line="400" w:lineRule="atLeas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未按周期维护每项扣1分；网络安全出现漏洞未及时修复扣3分</w:t>
            </w:r>
          </w:p>
        </w:tc>
        <w:tc>
          <w:tcPr>
            <w:tcW w:w="802"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028BF805">
            <w:pPr>
              <w:keepNext w:val="0"/>
              <w:keepLines w:val="0"/>
              <w:pageBreakBefore w:val="0"/>
              <w:widowControl w:val="0"/>
              <w:kinsoku/>
              <w:wordWrap/>
              <w:overflowPunct/>
              <w:topLinePunct w:val="0"/>
              <w:autoSpaceDE/>
              <w:autoSpaceDN/>
              <w:bidi w:val="0"/>
              <w:adjustRightInd w:val="0"/>
              <w:snapToGrid w:val="0"/>
              <w:spacing w:line="400" w:lineRule="atLeast"/>
              <w:jc w:val="center"/>
              <w:textAlignment w:val="auto"/>
              <w:rPr>
                <w:rFonts w:hint="eastAsia" w:ascii="宋体" w:hAnsi="宋体" w:eastAsia="宋体" w:cs="宋体"/>
                <w:color w:val="auto"/>
                <w:sz w:val="21"/>
                <w:szCs w:val="21"/>
                <w:highlight w:val="none"/>
              </w:rPr>
            </w:pPr>
          </w:p>
        </w:tc>
        <w:tc>
          <w:tcPr>
            <w:tcW w:w="1711"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7DDDDBB3">
            <w:pPr>
              <w:keepNext w:val="0"/>
              <w:keepLines w:val="0"/>
              <w:pageBreakBefore w:val="0"/>
              <w:widowControl w:val="0"/>
              <w:kinsoku/>
              <w:wordWrap/>
              <w:overflowPunct/>
              <w:topLinePunct w:val="0"/>
              <w:autoSpaceDE/>
              <w:autoSpaceDN/>
              <w:bidi w:val="0"/>
              <w:adjustRightInd w:val="0"/>
              <w:snapToGrid w:val="0"/>
              <w:spacing w:line="400" w:lineRule="atLeast"/>
              <w:jc w:val="left"/>
              <w:textAlignment w:val="auto"/>
              <w:rPr>
                <w:rFonts w:hint="eastAsia" w:ascii="宋体" w:hAnsi="宋体" w:eastAsia="宋体" w:cs="宋体"/>
                <w:color w:val="auto"/>
                <w:sz w:val="21"/>
                <w:szCs w:val="21"/>
                <w:highlight w:val="none"/>
              </w:rPr>
            </w:pPr>
          </w:p>
        </w:tc>
      </w:tr>
      <w:tr w14:paraId="731D8932">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rPr>
          <w:jc w:val="center"/>
        </w:trPr>
        <w:tc>
          <w:tcPr>
            <w:tcW w:w="1236" w:type="dxa"/>
            <w:vMerge w:val="continue"/>
            <w:tcBorders>
              <w:left w:val="single" w:color="auto" w:sz="4" w:space="0"/>
              <w:bottom w:val="single" w:color="auto" w:sz="4" w:space="0"/>
              <w:right w:val="single" w:color="auto" w:sz="4" w:space="0"/>
            </w:tcBorders>
            <w:tcMar>
              <w:top w:w="60" w:type="dxa"/>
              <w:left w:w="120" w:type="dxa"/>
              <w:bottom w:w="30" w:type="dxa"/>
              <w:right w:w="120" w:type="dxa"/>
            </w:tcMar>
            <w:vAlign w:val="center"/>
          </w:tcPr>
          <w:p w14:paraId="4E8066CD">
            <w:pPr>
              <w:keepNext w:val="0"/>
              <w:keepLines w:val="0"/>
              <w:pageBreakBefore w:val="0"/>
              <w:widowControl w:val="0"/>
              <w:kinsoku/>
              <w:wordWrap/>
              <w:overflowPunct/>
              <w:topLinePunct w:val="0"/>
              <w:autoSpaceDE/>
              <w:autoSpaceDN/>
              <w:bidi w:val="0"/>
              <w:adjustRightInd w:val="0"/>
              <w:snapToGrid w:val="0"/>
              <w:spacing w:line="400" w:lineRule="atLeast"/>
              <w:jc w:val="left"/>
              <w:textAlignment w:val="auto"/>
              <w:rPr>
                <w:rFonts w:hint="eastAsia" w:ascii="宋体" w:hAnsi="宋体" w:eastAsia="宋体" w:cs="宋体"/>
                <w:color w:val="auto"/>
                <w:sz w:val="21"/>
                <w:szCs w:val="21"/>
                <w:highlight w:val="none"/>
              </w:rPr>
            </w:pPr>
          </w:p>
        </w:tc>
        <w:tc>
          <w:tcPr>
            <w:tcW w:w="3103"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42B6198D">
            <w:pPr>
              <w:keepNext w:val="0"/>
              <w:keepLines w:val="0"/>
              <w:pageBreakBefore w:val="0"/>
              <w:widowControl w:val="0"/>
              <w:kinsoku/>
              <w:wordWrap/>
              <w:overflowPunct/>
              <w:topLinePunct w:val="0"/>
              <w:autoSpaceDE/>
              <w:autoSpaceDN/>
              <w:bidi w:val="0"/>
              <w:adjustRightInd w:val="0"/>
              <w:snapToGrid w:val="0"/>
              <w:spacing w:line="400" w:lineRule="atLeas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 保障网络与LED屏、音视频系统、监控系统等设备兼容适配，网络正常运行率≥99.5%，关键区域无线覆盖无死角</w:t>
            </w:r>
          </w:p>
        </w:tc>
        <w:tc>
          <w:tcPr>
            <w:tcW w:w="726"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518B3F1F">
            <w:pPr>
              <w:keepNext w:val="0"/>
              <w:keepLines w:val="0"/>
              <w:pageBreakBefore w:val="0"/>
              <w:widowControl w:val="0"/>
              <w:kinsoku/>
              <w:wordWrap/>
              <w:overflowPunct/>
              <w:topLinePunct w:val="0"/>
              <w:autoSpaceDE/>
              <w:autoSpaceDN/>
              <w:bidi w:val="0"/>
              <w:adjustRightInd w:val="0"/>
              <w:snapToGrid w:val="0"/>
              <w:spacing w:line="400" w:lineRule="atLeas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4分</w:t>
            </w:r>
          </w:p>
        </w:tc>
        <w:tc>
          <w:tcPr>
            <w:tcW w:w="2326"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115FA6A4">
            <w:pPr>
              <w:keepNext w:val="0"/>
              <w:keepLines w:val="0"/>
              <w:pageBreakBefore w:val="0"/>
              <w:widowControl w:val="0"/>
              <w:kinsoku/>
              <w:wordWrap/>
              <w:overflowPunct/>
              <w:topLinePunct w:val="0"/>
              <w:autoSpaceDE/>
              <w:autoSpaceDN/>
              <w:bidi w:val="0"/>
              <w:adjustRightInd w:val="0"/>
              <w:snapToGrid w:val="0"/>
              <w:spacing w:line="400" w:lineRule="atLeas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运行率每低于标准0.1%扣1分；适配故障每次扣2分；无线覆盖存在死角每项扣1分</w:t>
            </w:r>
          </w:p>
        </w:tc>
        <w:tc>
          <w:tcPr>
            <w:tcW w:w="802"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65C8E2D4">
            <w:pPr>
              <w:keepNext w:val="0"/>
              <w:keepLines w:val="0"/>
              <w:pageBreakBefore w:val="0"/>
              <w:widowControl w:val="0"/>
              <w:kinsoku/>
              <w:wordWrap/>
              <w:overflowPunct/>
              <w:topLinePunct w:val="0"/>
              <w:autoSpaceDE/>
              <w:autoSpaceDN/>
              <w:bidi w:val="0"/>
              <w:adjustRightInd w:val="0"/>
              <w:snapToGrid w:val="0"/>
              <w:spacing w:line="400" w:lineRule="atLeast"/>
              <w:jc w:val="center"/>
              <w:textAlignment w:val="auto"/>
              <w:rPr>
                <w:rFonts w:hint="eastAsia" w:ascii="宋体" w:hAnsi="宋体" w:eastAsia="宋体" w:cs="宋体"/>
                <w:color w:val="auto"/>
                <w:sz w:val="21"/>
                <w:szCs w:val="21"/>
                <w:highlight w:val="none"/>
              </w:rPr>
            </w:pPr>
          </w:p>
        </w:tc>
        <w:tc>
          <w:tcPr>
            <w:tcW w:w="1711"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5A2BDD7D">
            <w:pPr>
              <w:keepNext w:val="0"/>
              <w:keepLines w:val="0"/>
              <w:pageBreakBefore w:val="0"/>
              <w:widowControl w:val="0"/>
              <w:kinsoku/>
              <w:wordWrap/>
              <w:overflowPunct/>
              <w:topLinePunct w:val="0"/>
              <w:autoSpaceDE/>
              <w:autoSpaceDN/>
              <w:bidi w:val="0"/>
              <w:adjustRightInd w:val="0"/>
              <w:snapToGrid w:val="0"/>
              <w:spacing w:line="400" w:lineRule="atLeast"/>
              <w:jc w:val="left"/>
              <w:textAlignment w:val="auto"/>
              <w:rPr>
                <w:rFonts w:hint="eastAsia" w:ascii="宋体" w:hAnsi="宋体" w:eastAsia="宋体" w:cs="宋体"/>
                <w:color w:val="auto"/>
                <w:sz w:val="21"/>
                <w:szCs w:val="21"/>
                <w:highlight w:val="none"/>
              </w:rPr>
            </w:pPr>
          </w:p>
        </w:tc>
      </w:tr>
      <w:tr w14:paraId="7BAFC768">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rPr>
          <w:jc w:val="center"/>
        </w:trPr>
        <w:tc>
          <w:tcPr>
            <w:tcW w:w="1236" w:type="dxa"/>
            <w:vMerge w:val="restart"/>
            <w:tcBorders>
              <w:top w:val="single" w:color="auto" w:sz="4" w:space="0"/>
              <w:left w:val="single" w:color="auto" w:sz="4" w:space="0"/>
              <w:right w:val="single" w:color="auto" w:sz="4" w:space="0"/>
            </w:tcBorders>
            <w:tcMar>
              <w:top w:w="60" w:type="dxa"/>
              <w:left w:w="120" w:type="dxa"/>
              <w:bottom w:w="30" w:type="dxa"/>
              <w:right w:w="120" w:type="dxa"/>
            </w:tcMar>
            <w:vAlign w:val="center"/>
          </w:tcPr>
          <w:p w14:paraId="69B115B6">
            <w:pPr>
              <w:keepNext w:val="0"/>
              <w:keepLines w:val="0"/>
              <w:pageBreakBefore w:val="0"/>
              <w:widowControl w:val="0"/>
              <w:kinsoku/>
              <w:wordWrap/>
              <w:overflowPunct/>
              <w:topLinePunct w:val="0"/>
              <w:autoSpaceDE/>
              <w:autoSpaceDN/>
              <w:bidi w:val="0"/>
              <w:adjustRightInd w:val="0"/>
              <w:snapToGrid w:val="0"/>
              <w:spacing w:line="400" w:lineRule="atLeas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LED屏专项维保（10分）</w:t>
            </w:r>
          </w:p>
        </w:tc>
        <w:tc>
          <w:tcPr>
            <w:tcW w:w="3103"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6DC18298">
            <w:pPr>
              <w:keepNext w:val="0"/>
              <w:keepLines w:val="0"/>
              <w:pageBreakBefore w:val="0"/>
              <w:widowControl w:val="0"/>
              <w:kinsoku/>
              <w:wordWrap/>
              <w:overflowPunct/>
              <w:topLinePunct w:val="0"/>
              <w:autoSpaceDE/>
              <w:autoSpaceDN/>
              <w:bidi w:val="0"/>
              <w:adjustRightInd w:val="0"/>
              <w:snapToGrid w:val="0"/>
              <w:spacing w:line="400" w:lineRule="atLeas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 每日巡检各区域LED屏及配套网络链路，排查显示故障及网络传输问题</w:t>
            </w:r>
          </w:p>
        </w:tc>
        <w:tc>
          <w:tcPr>
            <w:tcW w:w="726"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0FF159C7">
            <w:pPr>
              <w:keepNext w:val="0"/>
              <w:keepLines w:val="0"/>
              <w:pageBreakBefore w:val="0"/>
              <w:widowControl w:val="0"/>
              <w:kinsoku/>
              <w:wordWrap/>
              <w:overflowPunct/>
              <w:topLinePunct w:val="0"/>
              <w:autoSpaceDE/>
              <w:autoSpaceDN/>
              <w:bidi w:val="0"/>
              <w:adjustRightInd w:val="0"/>
              <w:snapToGrid w:val="0"/>
              <w:spacing w:line="400" w:lineRule="atLeas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3分</w:t>
            </w:r>
          </w:p>
        </w:tc>
        <w:tc>
          <w:tcPr>
            <w:tcW w:w="2326"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4B57C79D">
            <w:pPr>
              <w:keepNext w:val="0"/>
              <w:keepLines w:val="0"/>
              <w:pageBreakBefore w:val="0"/>
              <w:widowControl w:val="0"/>
              <w:kinsoku/>
              <w:wordWrap/>
              <w:overflowPunct/>
              <w:topLinePunct w:val="0"/>
              <w:autoSpaceDE/>
              <w:autoSpaceDN/>
              <w:bidi w:val="0"/>
              <w:adjustRightInd w:val="0"/>
              <w:snapToGrid w:val="0"/>
              <w:spacing w:line="400" w:lineRule="atLeas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未按清单全覆盖巡检每次扣1分；漏报花屏、黑屏、网络传输故障每次扣1分</w:t>
            </w:r>
          </w:p>
        </w:tc>
        <w:tc>
          <w:tcPr>
            <w:tcW w:w="802"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36279B07">
            <w:pPr>
              <w:keepNext w:val="0"/>
              <w:keepLines w:val="0"/>
              <w:pageBreakBefore w:val="0"/>
              <w:widowControl w:val="0"/>
              <w:kinsoku/>
              <w:wordWrap/>
              <w:overflowPunct/>
              <w:topLinePunct w:val="0"/>
              <w:autoSpaceDE/>
              <w:autoSpaceDN/>
              <w:bidi w:val="0"/>
              <w:adjustRightInd w:val="0"/>
              <w:snapToGrid w:val="0"/>
              <w:spacing w:line="400" w:lineRule="atLeast"/>
              <w:jc w:val="center"/>
              <w:textAlignment w:val="auto"/>
              <w:rPr>
                <w:rFonts w:hint="eastAsia" w:ascii="宋体" w:hAnsi="宋体" w:eastAsia="宋体" w:cs="宋体"/>
                <w:color w:val="auto"/>
                <w:sz w:val="21"/>
                <w:szCs w:val="21"/>
                <w:highlight w:val="none"/>
              </w:rPr>
            </w:pPr>
          </w:p>
        </w:tc>
        <w:tc>
          <w:tcPr>
            <w:tcW w:w="1711"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674E59E6">
            <w:pPr>
              <w:keepNext w:val="0"/>
              <w:keepLines w:val="0"/>
              <w:pageBreakBefore w:val="0"/>
              <w:widowControl w:val="0"/>
              <w:kinsoku/>
              <w:wordWrap/>
              <w:overflowPunct/>
              <w:topLinePunct w:val="0"/>
              <w:autoSpaceDE/>
              <w:autoSpaceDN/>
              <w:bidi w:val="0"/>
              <w:adjustRightInd w:val="0"/>
              <w:snapToGrid w:val="0"/>
              <w:spacing w:line="400" w:lineRule="atLeast"/>
              <w:jc w:val="left"/>
              <w:textAlignment w:val="auto"/>
              <w:rPr>
                <w:rFonts w:hint="eastAsia" w:ascii="宋体" w:hAnsi="宋体" w:eastAsia="宋体" w:cs="宋体"/>
                <w:color w:val="auto"/>
                <w:sz w:val="21"/>
                <w:szCs w:val="21"/>
                <w:highlight w:val="none"/>
              </w:rPr>
            </w:pPr>
          </w:p>
        </w:tc>
      </w:tr>
      <w:tr w14:paraId="13662F48">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rPr>
          <w:jc w:val="center"/>
        </w:trPr>
        <w:tc>
          <w:tcPr>
            <w:tcW w:w="1236" w:type="dxa"/>
            <w:vMerge w:val="continue"/>
            <w:tcBorders>
              <w:left w:val="single" w:color="auto" w:sz="4" w:space="0"/>
              <w:right w:val="single" w:color="auto" w:sz="4" w:space="0"/>
            </w:tcBorders>
            <w:tcMar>
              <w:top w:w="60" w:type="dxa"/>
              <w:left w:w="120" w:type="dxa"/>
              <w:bottom w:w="30" w:type="dxa"/>
              <w:right w:w="120" w:type="dxa"/>
            </w:tcMar>
            <w:vAlign w:val="center"/>
          </w:tcPr>
          <w:p w14:paraId="6361A514">
            <w:pPr>
              <w:keepNext w:val="0"/>
              <w:keepLines w:val="0"/>
              <w:pageBreakBefore w:val="0"/>
              <w:widowControl w:val="0"/>
              <w:kinsoku/>
              <w:wordWrap/>
              <w:overflowPunct/>
              <w:topLinePunct w:val="0"/>
              <w:autoSpaceDE/>
              <w:autoSpaceDN/>
              <w:bidi w:val="0"/>
              <w:adjustRightInd w:val="0"/>
              <w:snapToGrid w:val="0"/>
              <w:spacing w:line="400" w:lineRule="atLeast"/>
              <w:jc w:val="left"/>
              <w:textAlignment w:val="auto"/>
              <w:rPr>
                <w:rFonts w:hint="eastAsia" w:ascii="宋体" w:hAnsi="宋体" w:eastAsia="宋体" w:cs="宋体"/>
                <w:color w:val="auto"/>
                <w:sz w:val="21"/>
                <w:szCs w:val="21"/>
                <w:highlight w:val="none"/>
              </w:rPr>
            </w:pPr>
          </w:p>
        </w:tc>
        <w:tc>
          <w:tcPr>
            <w:tcW w:w="3103"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282FA45A">
            <w:pPr>
              <w:keepNext w:val="0"/>
              <w:keepLines w:val="0"/>
              <w:pageBreakBefore w:val="0"/>
              <w:widowControl w:val="0"/>
              <w:kinsoku/>
              <w:wordWrap/>
              <w:overflowPunct/>
              <w:topLinePunct w:val="0"/>
              <w:autoSpaceDE/>
              <w:autoSpaceDN/>
              <w:bidi w:val="0"/>
              <w:adjustRightInd w:val="0"/>
              <w:snapToGrid w:val="0"/>
              <w:spacing w:line="400" w:lineRule="atLeas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 每周清洁屏体表面及边框，每月检测控制器、电源模块及网络接口，每季度校准显示参数（亮度、对比度、色温）</w:t>
            </w:r>
          </w:p>
        </w:tc>
        <w:tc>
          <w:tcPr>
            <w:tcW w:w="726"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3B878D36">
            <w:pPr>
              <w:keepNext w:val="0"/>
              <w:keepLines w:val="0"/>
              <w:pageBreakBefore w:val="0"/>
              <w:widowControl w:val="0"/>
              <w:kinsoku/>
              <w:wordWrap/>
              <w:overflowPunct/>
              <w:topLinePunct w:val="0"/>
              <w:autoSpaceDE/>
              <w:autoSpaceDN/>
              <w:bidi w:val="0"/>
              <w:adjustRightInd w:val="0"/>
              <w:snapToGrid w:val="0"/>
              <w:spacing w:line="400" w:lineRule="atLeas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3分</w:t>
            </w:r>
          </w:p>
        </w:tc>
        <w:tc>
          <w:tcPr>
            <w:tcW w:w="2326"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77E0CB29">
            <w:pPr>
              <w:keepNext w:val="0"/>
              <w:keepLines w:val="0"/>
              <w:pageBreakBefore w:val="0"/>
              <w:widowControl w:val="0"/>
              <w:kinsoku/>
              <w:wordWrap/>
              <w:overflowPunct/>
              <w:topLinePunct w:val="0"/>
              <w:autoSpaceDE/>
              <w:autoSpaceDN/>
              <w:bidi w:val="0"/>
              <w:adjustRightInd w:val="0"/>
              <w:snapToGrid w:val="0"/>
              <w:spacing w:line="400" w:lineRule="atLeas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未按周期维护每项扣1分；显示参数校准不达标、网络接口不稳定每次扣1分</w:t>
            </w:r>
          </w:p>
        </w:tc>
        <w:tc>
          <w:tcPr>
            <w:tcW w:w="802"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05737EC8">
            <w:pPr>
              <w:keepNext w:val="0"/>
              <w:keepLines w:val="0"/>
              <w:pageBreakBefore w:val="0"/>
              <w:widowControl w:val="0"/>
              <w:kinsoku/>
              <w:wordWrap/>
              <w:overflowPunct/>
              <w:topLinePunct w:val="0"/>
              <w:autoSpaceDE/>
              <w:autoSpaceDN/>
              <w:bidi w:val="0"/>
              <w:adjustRightInd w:val="0"/>
              <w:snapToGrid w:val="0"/>
              <w:spacing w:line="400" w:lineRule="atLeast"/>
              <w:jc w:val="center"/>
              <w:textAlignment w:val="auto"/>
              <w:rPr>
                <w:rFonts w:hint="eastAsia" w:ascii="宋体" w:hAnsi="宋体" w:eastAsia="宋体" w:cs="宋体"/>
                <w:color w:val="auto"/>
                <w:sz w:val="21"/>
                <w:szCs w:val="21"/>
                <w:highlight w:val="none"/>
              </w:rPr>
            </w:pPr>
          </w:p>
        </w:tc>
        <w:tc>
          <w:tcPr>
            <w:tcW w:w="1711"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3BDFD368">
            <w:pPr>
              <w:keepNext w:val="0"/>
              <w:keepLines w:val="0"/>
              <w:pageBreakBefore w:val="0"/>
              <w:widowControl w:val="0"/>
              <w:kinsoku/>
              <w:wordWrap/>
              <w:overflowPunct/>
              <w:topLinePunct w:val="0"/>
              <w:autoSpaceDE/>
              <w:autoSpaceDN/>
              <w:bidi w:val="0"/>
              <w:adjustRightInd w:val="0"/>
              <w:snapToGrid w:val="0"/>
              <w:spacing w:line="400" w:lineRule="atLeast"/>
              <w:jc w:val="left"/>
              <w:textAlignment w:val="auto"/>
              <w:rPr>
                <w:rFonts w:hint="eastAsia" w:ascii="宋体" w:hAnsi="宋体" w:eastAsia="宋体" w:cs="宋体"/>
                <w:color w:val="auto"/>
                <w:sz w:val="21"/>
                <w:szCs w:val="21"/>
                <w:highlight w:val="none"/>
              </w:rPr>
            </w:pPr>
          </w:p>
        </w:tc>
      </w:tr>
      <w:tr w14:paraId="1E93FE4E">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rPr>
          <w:jc w:val="center"/>
        </w:trPr>
        <w:tc>
          <w:tcPr>
            <w:tcW w:w="1236" w:type="dxa"/>
            <w:vMerge w:val="continue"/>
            <w:tcBorders>
              <w:left w:val="single" w:color="auto" w:sz="4" w:space="0"/>
              <w:bottom w:val="single" w:color="auto" w:sz="4" w:space="0"/>
              <w:right w:val="single" w:color="auto" w:sz="4" w:space="0"/>
            </w:tcBorders>
            <w:tcMar>
              <w:top w:w="60" w:type="dxa"/>
              <w:left w:w="120" w:type="dxa"/>
              <w:bottom w:w="30" w:type="dxa"/>
              <w:right w:w="120" w:type="dxa"/>
            </w:tcMar>
            <w:vAlign w:val="center"/>
          </w:tcPr>
          <w:p w14:paraId="3CA787A9">
            <w:pPr>
              <w:keepNext w:val="0"/>
              <w:keepLines w:val="0"/>
              <w:pageBreakBefore w:val="0"/>
              <w:widowControl w:val="0"/>
              <w:kinsoku/>
              <w:wordWrap/>
              <w:overflowPunct/>
              <w:topLinePunct w:val="0"/>
              <w:autoSpaceDE/>
              <w:autoSpaceDN/>
              <w:bidi w:val="0"/>
              <w:adjustRightInd w:val="0"/>
              <w:snapToGrid w:val="0"/>
              <w:spacing w:line="400" w:lineRule="atLeast"/>
              <w:jc w:val="left"/>
              <w:textAlignment w:val="auto"/>
              <w:rPr>
                <w:rFonts w:hint="eastAsia" w:ascii="宋体" w:hAnsi="宋体" w:eastAsia="宋体" w:cs="宋体"/>
                <w:color w:val="auto"/>
                <w:sz w:val="21"/>
                <w:szCs w:val="21"/>
                <w:highlight w:val="none"/>
              </w:rPr>
            </w:pPr>
          </w:p>
        </w:tc>
        <w:tc>
          <w:tcPr>
            <w:tcW w:w="3103"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1B8E5EFD">
            <w:pPr>
              <w:keepNext w:val="0"/>
              <w:keepLines w:val="0"/>
              <w:pageBreakBefore w:val="0"/>
              <w:widowControl w:val="0"/>
              <w:kinsoku/>
              <w:wordWrap/>
              <w:overflowPunct/>
              <w:topLinePunct w:val="0"/>
              <w:autoSpaceDE/>
              <w:autoSpaceDN/>
              <w:bidi w:val="0"/>
              <w:adjustRightInd w:val="0"/>
              <w:snapToGrid w:val="0"/>
              <w:spacing w:line="400" w:lineRule="atLeas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 大屏正常显示率≥99%，故障（含网络引发故障）后恢复时间≤1小时，备用模组储备量不低于总模组数的3%</w:t>
            </w:r>
          </w:p>
        </w:tc>
        <w:tc>
          <w:tcPr>
            <w:tcW w:w="726"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0AF1E4C5">
            <w:pPr>
              <w:keepNext w:val="0"/>
              <w:keepLines w:val="0"/>
              <w:pageBreakBefore w:val="0"/>
              <w:widowControl w:val="0"/>
              <w:kinsoku/>
              <w:wordWrap/>
              <w:overflowPunct/>
              <w:topLinePunct w:val="0"/>
              <w:autoSpaceDE/>
              <w:autoSpaceDN/>
              <w:bidi w:val="0"/>
              <w:adjustRightInd w:val="0"/>
              <w:snapToGrid w:val="0"/>
              <w:spacing w:line="400" w:lineRule="atLeas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4分</w:t>
            </w:r>
          </w:p>
        </w:tc>
        <w:tc>
          <w:tcPr>
            <w:tcW w:w="2326"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7D6F757F">
            <w:pPr>
              <w:keepNext w:val="0"/>
              <w:keepLines w:val="0"/>
              <w:pageBreakBefore w:val="0"/>
              <w:widowControl w:val="0"/>
              <w:kinsoku/>
              <w:wordWrap/>
              <w:overflowPunct/>
              <w:topLinePunct w:val="0"/>
              <w:autoSpaceDE/>
              <w:autoSpaceDN/>
              <w:bidi w:val="0"/>
              <w:adjustRightInd w:val="0"/>
              <w:snapToGrid w:val="0"/>
              <w:spacing w:line="400" w:lineRule="atLeas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显示率每低于标准1%扣2分；故障恢复超时每次扣2分；备用模组储备不足扣2分</w:t>
            </w:r>
          </w:p>
        </w:tc>
        <w:tc>
          <w:tcPr>
            <w:tcW w:w="802"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29F7A1EA">
            <w:pPr>
              <w:keepNext w:val="0"/>
              <w:keepLines w:val="0"/>
              <w:pageBreakBefore w:val="0"/>
              <w:widowControl w:val="0"/>
              <w:kinsoku/>
              <w:wordWrap/>
              <w:overflowPunct/>
              <w:topLinePunct w:val="0"/>
              <w:autoSpaceDE/>
              <w:autoSpaceDN/>
              <w:bidi w:val="0"/>
              <w:adjustRightInd w:val="0"/>
              <w:snapToGrid w:val="0"/>
              <w:spacing w:line="400" w:lineRule="atLeast"/>
              <w:jc w:val="center"/>
              <w:textAlignment w:val="auto"/>
              <w:rPr>
                <w:rFonts w:hint="eastAsia" w:ascii="宋体" w:hAnsi="宋体" w:eastAsia="宋体" w:cs="宋体"/>
                <w:color w:val="auto"/>
                <w:sz w:val="21"/>
                <w:szCs w:val="21"/>
                <w:highlight w:val="none"/>
              </w:rPr>
            </w:pPr>
          </w:p>
        </w:tc>
        <w:tc>
          <w:tcPr>
            <w:tcW w:w="1711"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02663D5E">
            <w:pPr>
              <w:keepNext w:val="0"/>
              <w:keepLines w:val="0"/>
              <w:pageBreakBefore w:val="0"/>
              <w:widowControl w:val="0"/>
              <w:kinsoku/>
              <w:wordWrap/>
              <w:overflowPunct/>
              <w:topLinePunct w:val="0"/>
              <w:autoSpaceDE/>
              <w:autoSpaceDN/>
              <w:bidi w:val="0"/>
              <w:adjustRightInd w:val="0"/>
              <w:snapToGrid w:val="0"/>
              <w:spacing w:line="400" w:lineRule="atLeast"/>
              <w:jc w:val="left"/>
              <w:textAlignment w:val="auto"/>
              <w:rPr>
                <w:rFonts w:hint="eastAsia" w:ascii="宋体" w:hAnsi="宋体" w:eastAsia="宋体" w:cs="宋体"/>
                <w:color w:val="auto"/>
                <w:sz w:val="21"/>
                <w:szCs w:val="21"/>
                <w:highlight w:val="none"/>
              </w:rPr>
            </w:pPr>
          </w:p>
        </w:tc>
      </w:tr>
      <w:tr w14:paraId="099F7CA9">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rPr>
          <w:jc w:val="center"/>
        </w:trPr>
        <w:tc>
          <w:tcPr>
            <w:tcW w:w="1236" w:type="dxa"/>
            <w:vMerge w:val="restart"/>
            <w:tcBorders>
              <w:top w:val="single" w:color="auto" w:sz="4" w:space="0"/>
              <w:left w:val="single" w:color="auto" w:sz="4" w:space="0"/>
              <w:right w:val="single" w:color="auto" w:sz="4" w:space="0"/>
            </w:tcBorders>
            <w:tcMar>
              <w:top w:w="60" w:type="dxa"/>
              <w:left w:w="120" w:type="dxa"/>
              <w:bottom w:w="30" w:type="dxa"/>
              <w:right w:w="120" w:type="dxa"/>
            </w:tcMar>
            <w:vAlign w:val="center"/>
          </w:tcPr>
          <w:p w14:paraId="0F762484">
            <w:pPr>
              <w:keepNext w:val="0"/>
              <w:keepLines w:val="0"/>
              <w:pageBreakBefore w:val="0"/>
              <w:widowControl w:val="0"/>
              <w:kinsoku/>
              <w:wordWrap/>
              <w:overflowPunct/>
              <w:topLinePunct w:val="0"/>
              <w:autoSpaceDE/>
              <w:autoSpaceDN/>
              <w:bidi w:val="0"/>
              <w:adjustRightInd w:val="0"/>
              <w:snapToGrid w:val="0"/>
              <w:spacing w:line="400" w:lineRule="atLeas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服务响应（8分）</w:t>
            </w:r>
          </w:p>
        </w:tc>
        <w:tc>
          <w:tcPr>
            <w:tcW w:w="3103"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2787CECB">
            <w:pPr>
              <w:keepNext w:val="0"/>
              <w:keepLines w:val="0"/>
              <w:pageBreakBefore w:val="0"/>
              <w:widowControl w:val="0"/>
              <w:kinsoku/>
              <w:wordWrap/>
              <w:overflowPunct/>
              <w:topLinePunct w:val="0"/>
              <w:autoSpaceDE/>
              <w:autoSpaceDN/>
              <w:bidi w:val="0"/>
              <w:adjustRightInd w:val="0"/>
              <w:snapToGrid w:val="0"/>
              <w:spacing w:line="400" w:lineRule="atLeas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 24小时应急响应畅通，市区范围内30分钟内赶赴现场，网络故障优先处置</w:t>
            </w:r>
          </w:p>
        </w:tc>
        <w:tc>
          <w:tcPr>
            <w:tcW w:w="726"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067CD8B3">
            <w:pPr>
              <w:keepNext w:val="0"/>
              <w:keepLines w:val="0"/>
              <w:pageBreakBefore w:val="0"/>
              <w:widowControl w:val="0"/>
              <w:kinsoku/>
              <w:wordWrap/>
              <w:overflowPunct/>
              <w:topLinePunct w:val="0"/>
              <w:autoSpaceDE/>
              <w:autoSpaceDN/>
              <w:bidi w:val="0"/>
              <w:adjustRightInd w:val="0"/>
              <w:snapToGrid w:val="0"/>
              <w:spacing w:line="400" w:lineRule="atLeas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5分</w:t>
            </w:r>
          </w:p>
        </w:tc>
        <w:tc>
          <w:tcPr>
            <w:tcW w:w="2326"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6C9CBE3E">
            <w:pPr>
              <w:keepNext w:val="0"/>
              <w:keepLines w:val="0"/>
              <w:pageBreakBefore w:val="0"/>
              <w:widowControl w:val="0"/>
              <w:kinsoku/>
              <w:wordWrap/>
              <w:overflowPunct/>
              <w:topLinePunct w:val="0"/>
              <w:autoSpaceDE/>
              <w:autoSpaceDN/>
              <w:bidi w:val="0"/>
              <w:adjustRightInd w:val="0"/>
              <w:snapToGrid w:val="0"/>
              <w:spacing w:line="400" w:lineRule="atLeas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应急响应不畅通每次扣3分；未按时赶赴现场每次扣4分；网络故障未优先处置加扣1分</w:t>
            </w:r>
          </w:p>
        </w:tc>
        <w:tc>
          <w:tcPr>
            <w:tcW w:w="802"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3976A5B5">
            <w:pPr>
              <w:keepNext w:val="0"/>
              <w:keepLines w:val="0"/>
              <w:pageBreakBefore w:val="0"/>
              <w:widowControl w:val="0"/>
              <w:kinsoku/>
              <w:wordWrap/>
              <w:overflowPunct/>
              <w:topLinePunct w:val="0"/>
              <w:autoSpaceDE/>
              <w:autoSpaceDN/>
              <w:bidi w:val="0"/>
              <w:adjustRightInd w:val="0"/>
              <w:snapToGrid w:val="0"/>
              <w:spacing w:line="400" w:lineRule="atLeast"/>
              <w:jc w:val="center"/>
              <w:textAlignment w:val="auto"/>
              <w:rPr>
                <w:rFonts w:hint="eastAsia" w:ascii="宋体" w:hAnsi="宋体" w:eastAsia="宋体" w:cs="宋体"/>
                <w:color w:val="auto"/>
                <w:sz w:val="21"/>
                <w:szCs w:val="21"/>
                <w:highlight w:val="none"/>
              </w:rPr>
            </w:pPr>
          </w:p>
        </w:tc>
        <w:tc>
          <w:tcPr>
            <w:tcW w:w="1711"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25DD41F2">
            <w:pPr>
              <w:keepNext w:val="0"/>
              <w:keepLines w:val="0"/>
              <w:pageBreakBefore w:val="0"/>
              <w:widowControl w:val="0"/>
              <w:kinsoku/>
              <w:wordWrap/>
              <w:overflowPunct/>
              <w:topLinePunct w:val="0"/>
              <w:autoSpaceDE/>
              <w:autoSpaceDN/>
              <w:bidi w:val="0"/>
              <w:adjustRightInd w:val="0"/>
              <w:snapToGrid w:val="0"/>
              <w:spacing w:line="400" w:lineRule="atLeast"/>
              <w:jc w:val="left"/>
              <w:textAlignment w:val="auto"/>
              <w:rPr>
                <w:rFonts w:hint="eastAsia" w:ascii="宋体" w:hAnsi="宋体" w:eastAsia="宋体" w:cs="宋体"/>
                <w:color w:val="auto"/>
                <w:sz w:val="21"/>
                <w:szCs w:val="21"/>
                <w:highlight w:val="none"/>
              </w:rPr>
            </w:pPr>
          </w:p>
        </w:tc>
      </w:tr>
      <w:tr w14:paraId="55204013">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rPr>
          <w:jc w:val="center"/>
        </w:trPr>
        <w:tc>
          <w:tcPr>
            <w:tcW w:w="1236" w:type="dxa"/>
            <w:vMerge w:val="continue"/>
            <w:tcBorders>
              <w:left w:val="single" w:color="auto" w:sz="4" w:space="0"/>
              <w:bottom w:val="single" w:color="auto" w:sz="4" w:space="0"/>
              <w:right w:val="single" w:color="auto" w:sz="4" w:space="0"/>
            </w:tcBorders>
            <w:tcMar>
              <w:top w:w="60" w:type="dxa"/>
              <w:left w:w="120" w:type="dxa"/>
              <w:bottom w:w="30" w:type="dxa"/>
              <w:right w:w="120" w:type="dxa"/>
            </w:tcMar>
            <w:vAlign w:val="center"/>
          </w:tcPr>
          <w:p w14:paraId="12FA23AD">
            <w:pPr>
              <w:keepNext w:val="0"/>
              <w:keepLines w:val="0"/>
              <w:pageBreakBefore w:val="0"/>
              <w:widowControl w:val="0"/>
              <w:kinsoku/>
              <w:wordWrap/>
              <w:overflowPunct/>
              <w:topLinePunct w:val="0"/>
              <w:autoSpaceDE/>
              <w:autoSpaceDN/>
              <w:bidi w:val="0"/>
              <w:adjustRightInd w:val="0"/>
              <w:snapToGrid w:val="0"/>
              <w:spacing w:line="400" w:lineRule="atLeast"/>
              <w:jc w:val="left"/>
              <w:textAlignment w:val="auto"/>
              <w:rPr>
                <w:rFonts w:hint="eastAsia" w:ascii="宋体" w:hAnsi="宋体" w:eastAsia="宋体" w:cs="宋体"/>
                <w:color w:val="auto"/>
                <w:sz w:val="21"/>
                <w:szCs w:val="21"/>
                <w:highlight w:val="none"/>
              </w:rPr>
            </w:pPr>
          </w:p>
        </w:tc>
        <w:tc>
          <w:tcPr>
            <w:tcW w:w="3103"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590930E2">
            <w:pPr>
              <w:keepNext w:val="0"/>
              <w:keepLines w:val="0"/>
              <w:pageBreakBefore w:val="0"/>
              <w:widowControl w:val="0"/>
              <w:kinsoku/>
              <w:wordWrap/>
              <w:overflowPunct/>
              <w:topLinePunct w:val="0"/>
              <w:autoSpaceDE/>
              <w:autoSpaceDN/>
              <w:bidi w:val="0"/>
              <w:adjustRightInd w:val="0"/>
              <w:snapToGrid w:val="0"/>
              <w:spacing w:line="400" w:lineRule="atLeas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 活动及会议期间增配人员（含网络保障）24小时内调配到位</w:t>
            </w:r>
          </w:p>
        </w:tc>
        <w:tc>
          <w:tcPr>
            <w:tcW w:w="726"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1D89D2F0">
            <w:pPr>
              <w:keepNext w:val="0"/>
              <w:keepLines w:val="0"/>
              <w:pageBreakBefore w:val="0"/>
              <w:widowControl w:val="0"/>
              <w:kinsoku/>
              <w:wordWrap/>
              <w:overflowPunct/>
              <w:topLinePunct w:val="0"/>
              <w:autoSpaceDE/>
              <w:autoSpaceDN/>
              <w:bidi w:val="0"/>
              <w:adjustRightInd w:val="0"/>
              <w:snapToGrid w:val="0"/>
              <w:spacing w:line="400" w:lineRule="atLeas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3分</w:t>
            </w:r>
          </w:p>
        </w:tc>
        <w:tc>
          <w:tcPr>
            <w:tcW w:w="2326"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4B8F2BCC">
            <w:pPr>
              <w:keepNext w:val="0"/>
              <w:keepLines w:val="0"/>
              <w:pageBreakBefore w:val="0"/>
              <w:widowControl w:val="0"/>
              <w:kinsoku/>
              <w:wordWrap/>
              <w:overflowPunct/>
              <w:topLinePunct w:val="0"/>
              <w:autoSpaceDE/>
              <w:autoSpaceDN/>
              <w:bidi w:val="0"/>
              <w:adjustRightInd w:val="0"/>
              <w:snapToGrid w:val="0"/>
              <w:spacing w:line="400" w:lineRule="atLeas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未按时调配到位每次扣3分</w:t>
            </w:r>
          </w:p>
        </w:tc>
        <w:tc>
          <w:tcPr>
            <w:tcW w:w="802"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1C05606C">
            <w:pPr>
              <w:keepNext w:val="0"/>
              <w:keepLines w:val="0"/>
              <w:pageBreakBefore w:val="0"/>
              <w:widowControl w:val="0"/>
              <w:kinsoku/>
              <w:wordWrap/>
              <w:overflowPunct/>
              <w:topLinePunct w:val="0"/>
              <w:autoSpaceDE/>
              <w:autoSpaceDN/>
              <w:bidi w:val="0"/>
              <w:adjustRightInd w:val="0"/>
              <w:snapToGrid w:val="0"/>
              <w:spacing w:line="400" w:lineRule="atLeast"/>
              <w:jc w:val="center"/>
              <w:textAlignment w:val="auto"/>
              <w:rPr>
                <w:rFonts w:hint="eastAsia" w:ascii="宋体" w:hAnsi="宋体" w:eastAsia="宋体" w:cs="宋体"/>
                <w:color w:val="auto"/>
                <w:sz w:val="21"/>
                <w:szCs w:val="21"/>
                <w:highlight w:val="none"/>
              </w:rPr>
            </w:pPr>
          </w:p>
        </w:tc>
        <w:tc>
          <w:tcPr>
            <w:tcW w:w="1711"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3116D5F4">
            <w:pPr>
              <w:keepNext w:val="0"/>
              <w:keepLines w:val="0"/>
              <w:pageBreakBefore w:val="0"/>
              <w:widowControl w:val="0"/>
              <w:kinsoku/>
              <w:wordWrap/>
              <w:overflowPunct/>
              <w:topLinePunct w:val="0"/>
              <w:autoSpaceDE/>
              <w:autoSpaceDN/>
              <w:bidi w:val="0"/>
              <w:adjustRightInd w:val="0"/>
              <w:snapToGrid w:val="0"/>
              <w:spacing w:line="400" w:lineRule="atLeast"/>
              <w:jc w:val="left"/>
              <w:textAlignment w:val="auto"/>
              <w:rPr>
                <w:rFonts w:hint="eastAsia" w:ascii="宋体" w:hAnsi="宋体" w:eastAsia="宋体" w:cs="宋体"/>
                <w:color w:val="auto"/>
                <w:sz w:val="21"/>
                <w:szCs w:val="21"/>
                <w:highlight w:val="none"/>
              </w:rPr>
            </w:pPr>
          </w:p>
        </w:tc>
      </w:tr>
      <w:tr w14:paraId="43DF6AD8">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rPr>
          <w:jc w:val="center"/>
        </w:trPr>
        <w:tc>
          <w:tcPr>
            <w:tcW w:w="1236" w:type="dxa"/>
            <w:vMerge w:val="restart"/>
            <w:tcBorders>
              <w:top w:val="single" w:color="auto" w:sz="4" w:space="0"/>
              <w:left w:val="single" w:color="auto" w:sz="4" w:space="0"/>
              <w:right w:val="single" w:color="auto" w:sz="4" w:space="0"/>
            </w:tcBorders>
            <w:tcMar>
              <w:top w:w="60" w:type="dxa"/>
              <w:left w:w="120" w:type="dxa"/>
              <w:bottom w:w="30" w:type="dxa"/>
              <w:right w:w="120" w:type="dxa"/>
            </w:tcMar>
            <w:vAlign w:val="center"/>
          </w:tcPr>
          <w:p w14:paraId="4D013242">
            <w:pPr>
              <w:keepNext w:val="0"/>
              <w:keepLines w:val="0"/>
              <w:pageBreakBefore w:val="0"/>
              <w:widowControl w:val="0"/>
              <w:kinsoku/>
              <w:wordWrap/>
              <w:overflowPunct/>
              <w:topLinePunct w:val="0"/>
              <w:autoSpaceDE/>
              <w:autoSpaceDN/>
              <w:bidi w:val="0"/>
              <w:adjustRightInd w:val="0"/>
              <w:snapToGrid w:val="0"/>
              <w:spacing w:line="400" w:lineRule="atLeas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资料提交（7分）</w:t>
            </w:r>
          </w:p>
        </w:tc>
        <w:tc>
          <w:tcPr>
            <w:tcW w:w="3103"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74EB4F86">
            <w:pPr>
              <w:keepNext w:val="0"/>
              <w:keepLines w:val="0"/>
              <w:pageBreakBefore w:val="0"/>
              <w:widowControl w:val="0"/>
              <w:kinsoku/>
              <w:wordWrap/>
              <w:overflowPunct/>
              <w:topLinePunct w:val="0"/>
              <w:autoSpaceDE/>
              <w:autoSpaceDN/>
              <w:bidi w:val="0"/>
              <w:adjustRightInd w:val="0"/>
              <w:snapToGrid w:val="0"/>
              <w:spacing w:line="400" w:lineRule="atLeas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 每日提交《巡检记录表》（含LED屏、网络专项巡检记录），每月5日前提交上月维保工作报告</w:t>
            </w:r>
          </w:p>
        </w:tc>
        <w:tc>
          <w:tcPr>
            <w:tcW w:w="726"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330BED78">
            <w:pPr>
              <w:keepNext w:val="0"/>
              <w:keepLines w:val="0"/>
              <w:pageBreakBefore w:val="0"/>
              <w:widowControl w:val="0"/>
              <w:kinsoku/>
              <w:wordWrap/>
              <w:overflowPunct/>
              <w:topLinePunct w:val="0"/>
              <w:autoSpaceDE/>
              <w:autoSpaceDN/>
              <w:bidi w:val="0"/>
              <w:adjustRightInd w:val="0"/>
              <w:snapToGrid w:val="0"/>
              <w:spacing w:line="400" w:lineRule="atLeas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3分</w:t>
            </w:r>
          </w:p>
        </w:tc>
        <w:tc>
          <w:tcPr>
            <w:tcW w:w="2326"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10DF5D29">
            <w:pPr>
              <w:keepNext w:val="0"/>
              <w:keepLines w:val="0"/>
              <w:pageBreakBefore w:val="0"/>
              <w:widowControl w:val="0"/>
              <w:kinsoku/>
              <w:wordWrap/>
              <w:overflowPunct/>
              <w:topLinePunct w:val="0"/>
              <w:autoSpaceDE/>
              <w:autoSpaceDN/>
              <w:bidi w:val="0"/>
              <w:adjustRightInd w:val="0"/>
              <w:snapToGrid w:val="0"/>
              <w:spacing w:line="400" w:lineRule="atLeas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未提交每次扣2分；提交不及时、不完整每次扣1分</w:t>
            </w:r>
          </w:p>
        </w:tc>
        <w:tc>
          <w:tcPr>
            <w:tcW w:w="802"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32F7DBB1">
            <w:pPr>
              <w:keepNext w:val="0"/>
              <w:keepLines w:val="0"/>
              <w:pageBreakBefore w:val="0"/>
              <w:widowControl w:val="0"/>
              <w:kinsoku/>
              <w:wordWrap/>
              <w:overflowPunct/>
              <w:topLinePunct w:val="0"/>
              <w:autoSpaceDE/>
              <w:autoSpaceDN/>
              <w:bidi w:val="0"/>
              <w:adjustRightInd w:val="0"/>
              <w:snapToGrid w:val="0"/>
              <w:spacing w:line="400" w:lineRule="atLeast"/>
              <w:jc w:val="center"/>
              <w:textAlignment w:val="auto"/>
              <w:rPr>
                <w:rFonts w:hint="eastAsia" w:ascii="宋体" w:hAnsi="宋体" w:eastAsia="宋体" w:cs="宋体"/>
                <w:color w:val="auto"/>
                <w:sz w:val="21"/>
                <w:szCs w:val="21"/>
                <w:highlight w:val="none"/>
              </w:rPr>
            </w:pPr>
          </w:p>
        </w:tc>
        <w:tc>
          <w:tcPr>
            <w:tcW w:w="1711"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658D8588">
            <w:pPr>
              <w:keepNext w:val="0"/>
              <w:keepLines w:val="0"/>
              <w:pageBreakBefore w:val="0"/>
              <w:widowControl w:val="0"/>
              <w:kinsoku/>
              <w:wordWrap/>
              <w:overflowPunct/>
              <w:topLinePunct w:val="0"/>
              <w:autoSpaceDE/>
              <w:autoSpaceDN/>
              <w:bidi w:val="0"/>
              <w:adjustRightInd w:val="0"/>
              <w:snapToGrid w:val="0"/>
              <w:spacing w:line="400" w:lineRule="atLeast"/>
              <w:jc w:val="left"/>
              <w:textAlignment w:val="auto"/>
              <w:rPr>
                <w:rFonts w:hint="eastAsia" w:ascii="宋体" w:hAnsi="宋体" w:eastAsia="宋体" w:cs="宋体"/>
                <w:color w:val="auto"/>
                <w:sz w:val="21"/>
                <w:szCs w:val="21"/>
                <w:highlight w:val="none"/>
              </w:rPr>
            </w:pPr>
          </w:p>
        </w:tc>
      </w:tr>
      <w:tr w14:paraId="70046A42">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rPr>
          <w:jc w:val="center"/>
        </w:trPr>
        <w:tc>
          <w:tcPr>
            <w:tcW w:w="1236" w:type="dxa"/>
            <w:vMerge w:val="continue"/>
            <w:tcBorders>
              <w:left w:val="single" w:color="auto" w:sz="4" w:space="0"/>
              <w:right w:val="single" w:color="auto" w:sz="4" w:space="0"/>
            </w:tcBorders>
            <w:tcMar>
              <w:top w:w="60" w:type="dxa"/>
              <w:left w:w="120" w:type="dxa"/>
              <w:bottom w:w="30" w:type="dxa"/>
              <w:right w:w="120" w:type="dxa"/>
            </w:tcMar>
            <w:vAlign w:val="center"/>
          </w:tcPr>
          <w:p w14:paraId="635978F3">
            <w:pPr>
              <w:keepNext w:val="0"/>
              <w:keepLines w:val="0"/>
              <w:pageBreakBefore w:val="0"/>
              <w:widowControl w:val="0"/>
              <w:kinsoku/>
              <w:wordWrap/>
              <w:overflowPunct/>
              <w:topLinePunct w:val="0"/>
              <w:autoSpaceDE/>
              <w:autoSpaceDN/>
              <w:bidi w:val="0"/>
              <w:adjustRightInd w:val="0"/>
              <w:snapToGrid w:val="0"/>
              <w:spacing w:line="400" w:lineRule="atLeast"/>
              <w:jc w:val="left"/>
              <w:textAlignment w:val="auto"/>
              <w:rPr>
                <w:rFonts w:hint="eastAsia" w:ascii="宋体" w:hAnsi="宋体" w:eastAsia="宋体" w:cs="宋体"/>
                <w:color w:val="auto"/>
                <w:sz w:val="21"/>
                <w:szCs w:val="21"/>
                <w:highlight w:val="none"/>
              </w:rPr>
            </w:pPr>
          </w:p>
        </w:tc>
        <w:tc>
          <w:tcPr>
            <w:tcW w:w="3103"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0B3C92BB">
            <w:pPr>
              <w:keepNext w:val="0"/>
              <w:keepLines w:val="0"/>
              <w:pageBreakBefore w:val="0"/>
              <w:widowControl w:val="0"/>
              <w:kinsoku/>
              <w:wordWrap/>
              <w:overflowPunct/>
              <w:topLinePunct w:val="0"/>
              <w:autoSpaceDE/>
              <w:autoSpaceDN/>
              <w:bidi w:val="0"/>
              <w:adjustRightInd w:val="0"/>
              <w:snapToGrid w:val="0"/>
              <w:spacing w:line="400" w:lineRule="atLeas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 每季度提交《系统运行分析报告》（含LED屏、网络运行数据），年度提供《系统运行评估报告》</w:t>
            </w:r>
          </w:p>
        </w:tc>
        <w:tc>
          <w:tcPr>
            <w:tcW w:w="726"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7A91FD5E">
            <w:pPr>
              <w:keepNext w:val="0"/>
              <w:keepLines w:val="0"/>
              <w:pageBreakBefore w:val="0"/>
              <w:widowControl w:val="0"/>
              <w:kinsoku/>
              <w:wordWrap/>
              <w:overflowPunct/>
              <w:topLinePunct w:val="0"/>
              <w:autoSpaceDE/>
              <w:autoSpaceDN/>
              <w:bidi w:val="0"/>
              <w:adjustRightInd w:val="0"/>
              <w:snapToGrid w:val="0"/>
              <w:spacing w:line="400" w:lineRule="atLeas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2分</w:t>
            </w:r>
          </w:p>
        </w:tc>
        <w:tc>
          <w:tcPr>
            <w:tcW w:w="2326"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18AA1A10">
            <w:pPr>
              <w:keepNext w:val="0"/>
              <w:keepLines w:val="0"/>
              <w:pageBreakBefore w:val="0"/>
              <w:widowControl w:val="0"/>
              <w:kinsoku/>
              <w:wordWrap/>
              <w:overflowPunct/>
              <w:topLinePunct w:val="0"/>
              <w:autoSpaceDE/>
              <w:autoSpaceDN/>
              <w:bidi w:val="0"/>
              <w:adjustRightInd w:val="0"/>
              <w:snapToGrid w:val="0"/>
              <w:spacing w:line="400" w:lineRule="atLeas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未提交每次扣2分；数据虚假每次扣2分</w:t>
            </w:r>
          </w:p>
        </w:tc>
        <w:tc>
          <w:tcPr>
            <w:tcW w:w="802"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5DABD575">
            <w:pPr>
              <w:keepNext w:val="0"/>
              <w:keepLines w:val="0"/>
              <w:pageBreakBefore w:val="0"/>
              <w:widowControl w:val="0"/>
              <w:kinsoku/>
              <w:wordWrap/>
              <w:overflowPunct/>
              <w:topLinePunct w:val="0"/>
              <w:autoSpaceDE/>
              <w:autoSpaceDN/>
              <w:bidi w:val="0"/>
              <w:adjustRightInd w:val="0"/>
              <w:snapToGrid w:val="0"/>
              <w:spacing w:line="400" w:lineRule="atLeast"/>
              <w:jc w:val="center"/>
              <w:textAlignment w:val="auto"/>
              <w:rPr>
                <w:rFonts w:hint="eastAsia" w:ascii="宋体" w:hAnsi="宋体" w:eastAsia="宋体" w:cs="宋体"/>
                <w:color w:val="auto"/>
                <w:sz w:val="21"/>
                <w:szCs w:val="21"/>
                <w:highlight w:val="none"/>
              </w:rPr>
            </w:pPr>
          </w:p>
        </w:tc>
        <w:tc>
          <w:tcPr>
            <w:tcW w:w="1711"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73377CF7">
            <w:pPr>
              <w:keepNext w:val="0"/>
              <w:keepLines w:val="0"/>
              <w:pageBreakBefore w:val="0"/>
              <w:widowControl w:val="0"/>
              <w:kinsoku/>
              <w:wordWrap/>
              <w:overflowPunct/>
              <w:topLinePunct w:val="0"/>
              <w:autoSpaceDE/>
              <w:autoSpaceDN/>
              <w:bidi w:val="0"/>
              <w:adjustRightInd w:val="0"/>
              <w:snapToGrid w:val="0"/>
              <w:spacing w:line="400" w:lineRule="atLeast"/>
              <w:jc w:val="left"/>
              <w:textAlignment w:val="auto"/>
              <w:rPr>
                <w:rFonts w:hint="eastAsia" w:ascii="宋体" w:hAnsi="宋体" w:eastAsia="宋体" w:cs="宋体"/>
                <w:color w:val="auto"/>
                <w:sz w:val="21"/>
                <w:szCs w:val="21"/>
                <w:highlight w:val="none"/>
              </w:rPr>
            </w:pPr>
          </w:p>
        </w:tc>
      </w:tr>
      <w:tr w14:paraId="3EFCF601">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rPr>
          <w:jc w:val="center"/>
        </w:trPr>
        <w:tc>
          <w:tcPr>
            <w:tcW w:w="1236" w:type="dxa"/>
            <w:vMerge w:val="continue"/>
            <w:tcBorders>
              <w:left w:val="single" w:color="auto" w:sz="4" w:space="0"/>
              <w:bottom w:val="single" w:color="auto" w:sz="4" w:space="0"/>
              <w:right w:val="single" w:color="auto" w:sz="4" w:space="0"/>
            </w:tcBorders>
            <w:tcMar>
              <w:top w:w="60" w:type="dxa"/>
              <w:left w:w="120" w:type="dxa"/>
              <w:bottom w:w="30" w:type="dxa"/>
              <w:right w:w="120" w:type="dxa"/>
            </w:tcMar>
            <w:vAlign w:val="center"/>
          </w:tcPr>
          <w:p w14:paraId="162007D9">
            <w:pPr>
              <w:keepNext w:val="0"/>
              <w:keepLines w:val="0"/>
              <w:pageBreakBefore w:val="0"/>
              <w:widowControl w:val="0"/>
              <w:kinsoku/>
              <w:wordWrap/>
              <w:overflowPunct/>
              <w:topLinePunct w:val="0"/>
              <w:autoSpaceDE/>
              <w:autoSpaceDN/>
              <w:bidi w:val="0"/>
              <w:adjustRightInd w:val="0"/>
              <w:snapToGrid w:val="0"/>
              <w:spacing w:line="400" w:lineRule="atLeast"/>
              <w:jc w:val="left"/>
              <w:textAlignment w:val="auto"/>
              <w:rPr>
                <w:rFonts w:hint="eastAsia" w:ascii="宋体" w:hAnsi="宋体" w:eastAsia="宋体" w:cs="宋体"/>
                <w:color w:val="auto"/>
                <w:sz w:val="21"/>
                <w:szCs w:val="21"/>
                <w:highlight w:val="none"/>
              </w:rPr>
            </w:pPr>
          </w:p>
        </w:tc>
        <w:tc>
          <w:tcPr>
            <w:tcW w:w="3103"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35AD144A">
            <w:pPr>
              <w:keepNext w:val="0"/>
              <w:keepLines w:val="0"/>
              <w:pageBreakBefore w:val="0"/>
              <w:widowControl w:val="0"/>
              <w:kinsoku/>
              <w:wordWrap/>
              <w:overflowPunct/>
              <w:topLinePunct w:val="0"/>
              <w:autoSpaceDE/>
              <w:autoSpaceDN/>
              <w:bidi w:val="0"/>
              <w:adjustRightInd w:val="0"/>
              <w:snapToGrid w:val="0"/>
              <w:spacing w:line="400" w:lineRule="atLeas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 所有资料归档留存期限≥合同期限+1年</w:t>
            </w:r>
          </w:p>
        </w:tc>
        <w:tc>
          <w:tcPr>
            <w:tcW w:w="726"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1BBE8B34">
            <w:pPr>
              <w:keepNext w:val="0"/>
              <w:keepLines w:val="0"/>
              <w:pageBreakBefore w:val="0"/>
              <w:widowControl w:val="0"/>
              <w:kinsoku/>
              <w:wordWrap/>
              <w:overflowPunct/>
              <w:topLinePunct w:val="0"/>
              <w:autoSpaceDE/>
              <w:autoSpaceDN/>
              <w:bidi w:val="0"/>
              <w:adjustRightInd w:val="0"/>
              <w:snapToGrid w:val="0"/>
              <w:spacing w:line="400" w:lineRule="atLeas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2分</w:t>
            </w:r>
          </w:p>
        </w:tc>
        <w:tc>
          <w:tcPr>
            <w:tcW w:w="2326"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06BE044F">
            <w:pPr>
              <w:keepNext w:val="0"/>
              <w:keepLines w:val="0"/>
              <w:pageBreakBefore w:val="0"/>
              <w:widowControl w:val="0"/>
              <w:kinsoku/>
              <w:wordWrap/>
              <w:overflowPunct/>
              <w:topLinePunct w:val="0"/>
              <w:autoSpaceDE/>
              <w:autoSpaceDN/>
              <w:bidi w:val="0"/>
              <w:adjustRightInd w:val="0"/>
              <w:snapToGrid w:val="0"/>
              <w:spacing w:line="400" w:lineRule="atLeas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未按要求留存每次扣1分</w:t>
            </w:r>
          </w:p>
        </w:tc>
        <w:tc>
          <w:tcPr>
            <w:tcW w:w="802"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155529D6">
            <w:pPr>
              <w:keepNext w:val="0"/>
              <w:keepLines w:val="0"/>
              <w:pageBreakBefore w:val="0"/>
              <w:widowControl w:val="0"/>
              <w:kinsoku/>
              <w:wordWrap/>
              <w:overflowPunct/>
              <w:topLinePunct w:val="0"/>
              <w:autoSpaceDE/>
              <w:autoSpaceDN/>
              <w:bidi w:val="0"/>
              <w:adjustRightInd w:val="0"/>
              <w:snapToGrid w:val="0"/>
              <w:spacing w:line="400" w:lineRule="atLeast"/>
              <w:jc w:val="center"/>
              <w:textAlignment w:val="auto"/>
              <w:rPr>
                <w:rFonts w:hint="eastAsia" w:ascii="宋体" w:hAnsi="宋体" w:eastAsia="宋体" w:cs="宋体"/>
                <w:color w:val="auto"/>
                <w:sz w:val="21"/>
                <w:szCs w:val="21"/>
                <w:highlight w:val="none"/>
              </w:rPr>
            </w:pPr>
          </w:p>
        </w:tc>
        <w:tc>
          <w:tcPr>
            <w:tcW w:w="1711"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754D3A64">
            <w:pPr>
              <w:keepNext w:val="0"/>
              <w:keepLines w:val="0"/>
              <w:pageBreakBefore w:val="0"/>
              <w:widowControl w:val="0"/>
              <w:kinsoku/>
              <w:wordWrap/>
              <w:overflowPunct/>
              <w:topLinePunct w:val="0"/>
              <w:autoSpaceDE/>
              <w:autoSpaceDN/>
              <w:bidi w:val="0"/>
              <w:adjustRightInd w:val="0"/>
              <w:snapToGrid w:val="0"/>
              <w:spacing w:line="400" w:lineRule="atLeast"/>
              <w:jc w:val="left"/>
              <w:textAlignment w:val="auto"/>
              <w:rPr>
                <w:rFonts w:hint="eastAsia" w:ascii="宋体" w:hAnsi="宋体" w:eastAsia="宋体" w:cs="宋体"/>
                <w:color w:val="auto"/>
                <w:sz w:val="21"/>
                <w:szCs w:val="21"/>
                <w:highlight w:val="none"/>
              </w:rPr>
            </w:pPr>
          </w:p>
        </w:tc>
      </w:tr>
      <w:tr w14:paraId="26588DF9">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rPr>
          <w:jc w:val="center"/>
        </w:trPr>
        <w:tc>
          <w:tcPr>
            <w:tcW w:w="1236" w:type="dxa"/>
            <w:vMerge w:val="restart"/>
            <w:tcBorders>
              <w:top w:val="single" w:color="auto" w:sz="4" w:space="0"/>
              <w:left w:val="single" w:color="auto" w:sz="4" w:space="0"/>
              <w:right w:val="single" w:color="auto" w:sz="4" w:space="0"/>
            </w:tcBorders>
            <w:tcMar>
              <w:top w:w="60" w:type="dxa"/>
              <w:left w:w="120" w:type="dxa"/>
              <w:bottom w:w="30" w:type="dxa"/>
              <w:right w:w="120" w:type="dxa"/>
            </w:tcMar>
            <w:vAlign w:val="center"/>
          </w:tcPr>
          <w:p w14:paraId="3046209F">
            <w:pPr>
              <w:keepNext w:val="0"/>
              <w:keepLines w:val="0"/>
              <w:pageBreakBefore w:val="0"/>
              <w:widowControl w:val="0"/>
              <w:kinsoku/>
              <w:wordWrap/>
              <w:overflowPunct/>
              <w:topLinePunct w:val="0"/>
              <w:autoSpaceDE/>
              <w:autoSpaceDN/>
              <w:bidi w:val="0"/>
              <w:adjustRightInd w:val="0"/>
              <w:snapToGrid w:val="0"/>
              <w:spacing w:line="400" w:lineRule="atLeas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耗材管理（5分）</w:t>
            </w:r>
          </w:p>
        </w:tc>
        <w:tc>
          <w:tcPr>
            <w:tcW w:w="3103"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488CA026">
            <w:pPr>
              <w:keepNext w:val="0"/>
              <w:keepLines w:val="0"/>
              <w:pageBreakBefore w:val="0"/>
              <w:widowControl w:val="0"/>
              <w:kinsoku/>
              <w:wordWrap/>
              <w:overflowPunct/>
              <w:topLinePunct w:val="0"/>
              <w:autoSpaceDE/>
              <w:autoSpaceDN/>
              <w:bidi w:val="0"/>
              <w:adjustRightInd w:val="0"/>
              <w:snapToGrid w:val="0"/>
              <w:spacing w:line="400" w:lineRule="atLeas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1.3000元（含）以内耗材（含网络配件）自行承担，使用正品耗材，建立《耗材使用台账》</w:t>
            </w:r>
          </w:p>
        </w:tc>
        <w:tc>
          <w:tcPr>
            <w:tcW w:w="726"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71954E4B">
            <w:pPr>
              <w:keepNext w:val="0"/>
              <w:keepLines w:val="0"/>
              <w:pageBreakBefore w:val="0"/>
              <w:widowControl w:val="0"/>
              <w:kinsoku/>
              <w:wordWrap/>
              <w:overflowPunct/>
              <w:topLinePunct w:val="0"/>
              <w:autoSpaceDE/>
              <w:autoSpaceDN/>
              <w:bidi w:val="0"/>
              <w:adjustRightInd w:val="0"/>
              <w:snapToGrid w:val="0"/>
              <w:spacing w:line="400" w:lineRule="atLeas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3分</w:t>
            </w:r>
          </w:p>
        </w:tc>
        <w:tc>
          <w:tcPr>
            <w:tcW w:w="2326"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5FA50992">
            <w:pPr>
              <w:keepNext w:val="0"/>
              <w:keepLines w:val="0"/>
              <w:pageBreakBefore w:val="0"/>
              <w:widowControl w:val="0"/>
              <w:kinsoku/>
              <w:wordWrap/>
              <w:overflowPunct/>
              <w:topLinePunct w:val="0"/>
              <w:autoSpaceDE/>
              <w:autoSpaceDN/>
              <w:bidi w:val="0"/>
              <w:adjustRightInd w:val="0"/>
              <w:snapToGrid w:val="0"/>
              <w:spacing w:line="400" w:lineRule="atLeas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使用劣质耗材、虚报费用每次扣2分；未建立台账或记录不规范每次扣1分</w:t>
            </w:r>
          </w:p>
        </w:tc>
        <w:tc>
          <w:tcPr>
            <w:tcW w:w="802"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43F8EB81">
            <w:pPr>
              <w:keepNext w:val="0"/>
              <w:keepLines w:val="0"/>
              <w:pageBreakBefore w:val="0"/>
              <w:widowControl w:val="0"/>
              <w:kinsoku/>
              <w:wordWrap/>
              <w:overflowPunct/>
              <w:topLinePunct w:val="0"/>
              <w:autoSpaceDE/>
              <w:autoSpaceDN/>
              <w:bidi w:val="0"/>
              <w:adjustRightInd w:val="0"/>
              <w:snapToGrid w:val="0"/>
              <w:spacing w:line="400" w:lineRule="atLeast"/>
              <w:jc w:val="center"/>
              <w:textAlignment w:val="auto"/>
              <w:rPr>
                <w:rFonts w:hint="eastAsia" w:ascii="宋体" w:hAnsi="宋体" w:eastAsia="宋体" w:cs="宋体"/>
                <w:color w:val="auto"/>
                <w:sz w:val="21"/>
                <w:szCs w:val="21"/>
                <w:highlight w:val="none"/>
              </w:rPr>
            </w:pPr>
          </w:p>
        </w:tc>
        <w:tc>
          <w:tcPr>
            <w:tcW w:w="1711"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18B9817E">
            <w:pPr>
              <w:keepNext w:val="0"/>
              <w:keepLines w:val="0"/>
              <w:pageBreakBefore w:val="0"/>
              <w:widowControl w:val="0"/>
              <w:kinsoku/>
              <w:wordWrap/>
              <w:overflowPunct/>
              <w:topLinePunct w:val="0"/>
              <w:autoSpaceDE/>
              <w:autoSpaceDN/>
              <w:bidi w:val="0"/>
              <w:adjustRightInd w:val="0"/>
              <w:snapToGrid w:val="0"/>
              <w:spacing w:line="400" w:lineRule="atLeast"/>
              <w:jc w:val="left"/>
              <w:textAlignment w:val="auto"/>
              <w:rPr>
                <w:rFonts w:hint="eastAsia" w:ascii="宋体" w:hAnsi="宋体" w:eastAsia="宋体" w:cs="宋体"/>
                <w:color w:val="auto"/>
                <w:sz w:val="21"/>
                <w:szCs w:val="21"/>
                <w:highlight w:val="none"/>
              </w:rPr>
            </w:pPr>
          </w:p>
        </w:tc>
      </w:tr>
      <w:tr w14:paraId="3679C283">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rPr>
          <w:jc w:val="center"/>
        </w:trPr>
        <w:tc>
          <w:tcPr>
            <w:tcW w:w="1236" w:type="dxa"/>
            <w:vMerge w:val="continue"/>
            <w:tcBorders>
              <w:left w:val="single" w:color="auto" w:sz="4" w:space="0"/>
              <w:bottom w:val="single" w:color="auto" w:sz="4" w:space="0"/>
              <w:right w:val="single" w:color="auto" w:sz="4" w:space="0"/>
            </w:tcBorders>
            <w:tcMar>
              <w:top w:w="60" w:type="dxa"/>
              <w:left w:w="120" w:type="dxa"/>
              <w:bottom w:w="30" w:type="dxa"/>
              <w:right w:w="120" w:type="dxa"/>
            </w:tcMar>
            <w:vAlign w:val="center"/>
          </w:tcPr>
          <w:p w14:paraId="68317A81">
            <w:pPr>
              <w:keepNext w:val="0"/>
              <w:keepLines w:val="0"/>
              <w:pageBreakBefore w:val="0"/>
              <w:widowControl w:val="0"/>
              <w:kinsoku/>
              <w:wordWrap/>
              <w:overflowPunct/>
              <w:topLinePunct w:val="0"/>
              <w:autoSpaceDE/>
              <w:autoSpaceDN/>
              <w:bidi w:val="0"/>
              <w:adjustRightInd w:val="0"/>
              <w:snapToGrid w:val="0"/>
              <w:spacing w:line="400" w:lineRule="atLeast"/>
              <w:jc w:val="left"/>
              <w:textAlignment w:val="auto"/>
              <w:rPr>
                <w:rFonts w:hint="eastAsia" w:ascii="宋体" w:hAnsi="宋体" w:eastAsia="宋体" w:cs="宋体"/>
                <w:color w:val="auto"/>
                <w:sz w:val="21"/>
                <w:szCs w:val="21"/>
                <w:highlight w:val="none"/>
              </w:rPr>
            </w:pPr>
          </w:p>
        </w:tc>
        <w:tc>
          <w:tcPr>
            <w:tcW w:w="3103"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608097B0">
            <w:pPr>
              <w:keepNext w:val="0"/>
              <w:keepLines w:val="0"/>
              <w:pageBreakBefore w:val="0"/>
              <w:widowControl w:val="0"/>
              <w:kinsoku/>
              <w:wordWrap/>
              <w:overflowPunct/>
              <w:topLinePunct w:val="0"/>
              <w:autoSpaceDE/>
              <w:autoSpaceDN/>
              <w:bidi w:val="0"/>
              <w:adjustRightInd w:val="0"/>
              <w:snapToGrid w:val="0"/>
              <w:spacing w:line="400" w:lineRule="atLeas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 超过3000元的屏体模组、网络核心部件等按流程申请，采购周期≤7个工作日</w:t>
            </w:r>
          </w:p>
        </w:tc>
        <w:tc>
          <w:tcPr>
            <w:tcW w:w="726"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4BE743BA">
            <w:pPr>
              <w:keepNext w:val="0"/>
              <w:keepLines w:val="0"/>
              <w:pageBreakBefore w:val="0"/>
              <w:widowControl w:val="0"/>
              <w:kinsoku/>
              <w:wordWrap/>
              <w:overflowPunct/>
              <w:topLinePunct w:val="0"/>
              <w:autoSpaceDE/>
              <w:autoSpaceDN/>
              <w:bidi w:val="0"/>
              <w:adjustRightInd w:val="0"/>
              <w:snapToGrid w:val="0"/>
              <w:spacing w:line="400" w:lineRule="atLeas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2分</w:t>
            </w:r>
          </w:p>
        </w:tc>
        <w:tc>
          <w:tcPr>
            <w:tcW w:w="2326"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319C1C09">
            <w:pPr>
              <w:keepNext w:val="0"/>
              <w:keepLines w:val="0"/>
              <w:pageBreakBefore w:val="0"/>
              <w:widowControl w:val="0"/>
              <w:kinsoku/>
              <w:wordWrap/>
              <w:overflowPunct/>
              <w:topLinePunct w:val="0"/>
              <w:autoSpaceDE/>
              <w:autoSpaceDN/>
              <w:bidi w:val="0"/>
              <w:adjustRightInd w:val="0"/>
              <w:snapToGrid w:val="0"/>
              <w:spacing w:line="400" w:lineRule="atLeas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未按流程申请每次扣1分；采购周期超时每次扣1分</w:t>
            </w:r>
          </w:p>
        </w:tc>
        <w:tc>
          <w:tcPr>
            <w:tcW w:w="802"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60D3FED0">
            <w:pPr>
              <w:keepNext w:val="0"/>
              <w:keepLines w:val="0"/>
              <w:pageBreakBefore w:val="0"/>
              <w:widowControl w:val="0"/>
              <w:kinsoku/>
              <w:wordWrap/>
              <w:overflowPunct/>
              <w:topLinePunct w:val="0"/>
              <w:autoSpaceDE/>
              <w:autoSpaceDN/>
              <w:bidi w:val="0"/>
              <w:adjustRightInd w:val="0"/>
              <w:snapToGrid w:val="0"/>
              <w:spacing w:line="400" w:lineRule="atLeast"/>
              <w:jc w:val="center"/>
              <w:textAlignment w:val="auto"/>
              <w:rPr>
                <w:rFonts w:hint="eastAsia" w:ascii="宋体" w:hAnsi="宋体" w:eastAsia="宋体" w:cs="宋体"/>
                <w:color w:val="auto"/>
                <w:sz w:val="21"/>
                <w:szCs w:val="21"/>
                <w:highlight w:val="none"/>
              </w:rPr>
            </w:pPr>
          </w:p>
        </w:tc>
        <w:tc>
          <w:tcPr>
            <w:tcW w:w="1711"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4485824B">
            <w:pPr>
              <w:keepNext w:val="0"/>
              <w:keepLines w:val="0"/>
              <w:pageBreakBefore w:val="0"/>
              <w:widowControl w:val="0"/>
              <w:kinsoku/>
              <w:wordWrap/>
              <w:overflowPunct/>
              <w:topLinePunct w:val="0"/>
              <w:autoSpaceDE/>
              <w:autoSpaceDN/>
              <w:bidi w:val="0"/>
              <w:adjustRightInd w:val="0"/>
              <w:snapToGrid w:val="0"/>
              <w:spacing w:line="400" w:lineRule="atLeast"/>
              <w:jc w:val="left"/>
              <w:textAlignment w:val="auto"/>
              <w:rPr>
                <w:rFonts w:hint="eastAsia" w:ascii="宋体" w:hAnsi="宋体" w:eastAsia="宋体" w:cs="宋体"/>
                <w:color w:val="auto"/>
                <w:sz w:val="21"/>
                <w:szCs w:val="21"/>
                <w:highlight w:val="none"/>
              </w:rPr>
            </w:pPr>
          </w:p>
        </w:tc>
      </w:tr>
      <w:tr w14:paraId="6628DE36">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rPr>
          <w:jc w:val="center"/>
        </w:trPr>
        <w:tc>
          <w:tcPr>
            <w:tcW w:w="1236"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207CC0B2">
            <w:pPr>
              <w:keepNext w:val="0"/>
              <w:keepLines w:val="0"/>
              <w:pageBreakBefore w:val="0"/>
              <w:widowControl w:val="0"/>
              <w:kinsoku/>
              <w:wordWrap/>
              <w:overflowPunct/>
              <w:topLinePunct w:val="0"/>
              <w:autoSpaceDE/>
              <w:autoSpaceDN/>
              <w:bidi w:val="0"/>
              <w:adjustRightInd w:val="0"/>
              <w:snapToGrid w:val="0"/>
              <w:spacing w:line="400" w:lineRule="atLeas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总分</w:t>
            </w:r>
          </w:p>
        </w:tc>
        <w:tc>
          <w:tcPr>
            <w:tcW w:w="3103"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4EFE7F36">
            <w:pPr>
              <w:keepNext w:val="0"/>
              <w:keepLines w:val="0"/>
              <w:pageBreakBefore w:val="0"/>
              <w:widowControl w:val="0"/>
              <w:kinsoku/>
              <w:wordWrap/>
              <w:overflowPunct/>
              <w:topLinePunct w:val="0"/>
              <w:autoSpaceDE/>
              <w:autoSpaceDN/>
              <w:bidi w:val="0"/>
              <w:adjustRightInd w:val="0"/>
              <w:snapToGrid w:val="0"/>
              <w:spacing w:line="400" w:lineRule="atLeast"/>
              <w:jc w:val="left"/>
              <w:textAlignment w:val="auto"/>
              <w:rPr>
                <w:rFonts w:hint="eastAsia" w:ascii="宋体" w:hAnsi="宋体" w:eastAsia="宋体" w:cs="宋体"/>
                <w:color w:val="auto"/>
                <w:sz w:val="21"/>
                <w:szCs w:val="21"/>
                <w:highlight w:val="none"/>
              </w:rPr>
            </w:pPr>
          </w:p>
        </w:tc>
        <w:tc>
          <w:tcPr>
            <w:tcW w:w="726"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74125B72">
            <w:pPr>
              <w:keepNext w:val="0"/>
              <w:keepLines w:val="0"/>
              <w:pageBreakBefore w:val="0"/>
              <w:widowControl w:val="0"/>
              <w:kinsoku/>
              <w:wordWrap/>
              <w:overflowPunct/>
              <w:topLinePunct w:val="0"/>
              <w:autoSpaceDE/>
              <w:autoSpaceDN/>
              <w:bidi w:val="0"/>
              <w:adjustRightInd w:val="0"/>
              <w:snapToGrid w:val="0"/>
              <w:spacing w:line="400" w:lineRule="atLeas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100分</w:t>
            </w:r>
          </w:p>
        </w:tc>
        <w:tc>
          <w:tcPr>
            <w:tcW w:w="2326"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1759BF5E">
            <w:pPr>
              <w:keepNext w:val="0"/>
              <w:keepLines w:val="0"/>
              <w:pageBreakBefore w:val="0"/>
              <w:widowControl w:val="0"/>
              <w:kinsoku/>
              <w:wordWrap/>
              <w:overflowPunct/>
              <w:topLinePunct w:val="0"/>
              <w:autoSpaceDE/>
              <w:autoSpaceDN/>
              <w:bidi w:val="0"/>
              <w:adjustRightInd w:val="0"/>
              <w:snapToGrid w:val="0"/>
              <w:spacing w:line="400" w:lineRule="atLeast"/>
              <w:jc w:val="left"/>
              <w:textAlignment w:val="auto"/>
              <w:rPr>
                <w:rFonts w:hint="eastAsia" w:ascii="宋体" w:hAnsi="宋体" w:eastAsia="宋体" w:cs="宋体"/>
                <w:color w:val="auto"/>
                <w:sz w:val="21"/>
                <w:szCs w:val="21"/>
                <w:highlight w:val="none"/>
              </w:rPr>
            </w:pPr>
          </w:p>
        </w:tc>
        <w:tc>
          <w:tcPr>
            <w:tcW w:w="802"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29C3319C">
            <w:pPr>
              <w:keepNext w:val="0"/>
              <w:keepLines w:val="0"/>
              <w:pageBreakBefore w:val="0"/>
              <w:widowControl w:val="0"/>
              <w:kinsoku/>
              <w:wordWrap/>
              <w:overflowPunct/>
              <w:topLinePunct w:val="0"/>
              <w:autoSpaceDE/>
              <w:autoSpaceDN/>
              <w:bidi w:val="0"/>
              <w:adjustRightInd w:val="0"/>
              <w:snapToGrid w:val="0"/>
              <w:spacing w:line="400" w:lineRule="atLeast"/>
              <w:jc w:val="center"/>
              <w:textAlignment w:val="auto"/>
              <w:rPr>
                <w:rFonts w:hint="eastAsia" w:ascii="宋体" w:hAnsi="宋体" w:eastAsia="宋体" w:cs="宋体"/>
                <w:color w:val="auto"/>
                <w:sz w:val="21"/>
                <w:szCs w:val="21"/>
                <w:highlight w:val="none"/>
              </w:rPr>
            </w:pPr>
          </w:p>
        </w:tc>
        <w:tc>
          <w:tcPr>
            <w:tcW w:w="1711"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12E7BF2F">
            <w:pPr>
              <w:keepNext w:val="0"/>
              <w:keepLines w:val="0"/>
              <w:pageBreakBefore w:val="0"/>
              <w:widowControl w:val="0"/>
              <w:kinsoku/>
              <w:wordWrap/>
              <w:overflowPunct/>
              <w:topLinePunct w:val="0"/>
              <w:autoSpaceDE/>
              <w:autoSpaceDN/>
              <w:bidi w:val="0"/>
              <w:adjustRightInd w:val="0"/>
              <w:snapToGrid w:val="0"/>
              <w:spacing w:line="400" w:lineRule="atLeast"/>
              <w:jc w:val="left"/>
              <w:textAlignment w:val="auto"/>
              <w:rPr>
                <w:rFonts w:hint="eastAsia" w:ascii="宋体" w:hAnsi="宋体" w:eastAsia="宋体" w:cs="宋体"/>
                <w:color w:val="auto"/>
                <w:sz w:val="21"/>
                <w:szCs w:val="21"/>
                <w:highlight w:val="none"/>
              </w:rPr>
            </w:pPr>
          </w:p>
        </w:tc>
      </w:tr>
      <w:tr w14:paraId="1766439B">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rPr>
          <w:jc w:val="center"/>
        </w:trPr>
        <w:tc>
          <w:tcPr>
            <w:tcW w:w="1236"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0FE7960E">
            <w:pPr>
              <w:keepNext w:val="0"/>
              <w:keepLines w:val="0"/>
              <w:pageBreakBefore w:val="0"/>
              <w:widowControl w:val="0"/>
              <w:kinsoku/>
              <w:wordWrap/>
              <w:overflowPunct/>
              <w:topLinePunct w:val="0"/>
              <w:autoSpaceDE/>
              <w:autoSpaceDN/>
              <w:bidi w:val="0"/>
              <w:adjustRightInd w:val="0"/>
              <w:snapToGrid w:val="0"/>
              <w:spacing w:line="400" w:lineRule="atLeas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考核等级</w:t>
            </w:r>
          </w:p>
        </w:tc>
        <w:tc>
          <w:tcPr>
            <w:tcW w:w="3103"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5D68A75E">
            <w:pPr>
              <w:keepNext w:val="0"/>
              <w:keepLines w:val="0"/>
              <w:pageBreakBefore w:val="0"/>
              <w:widowControl w:val="0"/>
              <w:kinsoku/>
              <w:wordWrap/>
              <w:overflowPunct/>
              <w:topLinePunct w:val="0"/>
              <w:autoSpaceDE/>
              <w:autoSpaceDN/>
              <w:bidi w:val="0"/>
              <w:adjustRightInd w:val="0"/>
              <w:snapToGrid w:val="0"/>
              <w:spacing w:line="400" w:lineRule="atLeas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得分≥85分为合格；60-84分为基本合格；＜60分为不合格</w:t>
            </w:r>
          </w:p>
        </w:tc>
        <w:tc>
          <w:tcPr>
            <w:tcW w:w="726"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719C546F">
            <w:pPr>
              <w:keepNext w:val="0"/>
              <w:keepLines w:val="0"/>
              <w:pageBreakBefore w:val="0"/>
              <w:widowControl w:val="0"/>
              <w:kinsoku/>
              <w:wordWrap/>
              <w:overflowPunct/>
              <w:topLinePunct w:val="0"/>
              <w:autoSpaceDE/>
              <w:autoSpaceDN/>
              <w:bidi w:val="0"/>
              <w:adjustRightInd w:val="0"/>
              <w:snapToGrid w:val="0"/>
              <w:spacing w:line="400" w:lineRule="atLeast"/>
              <w:jc w:val="center"/>
              <w:textAlignment w:val="auto"/>
              <w:rPr>
                <w:rFonts w:hint="eastAsia" w:ascii="宋体" w:hAnsi="宋体" w:eastAsia="宋体" w:cs="宋体"/>
                <w:color w:val="auto"/>
                <w:sz w:val="21"/>
                <w:szCs w:val="21"/>
                <w:highlight w:val="none"/>
              </w:rPr>
            </w:pPr>
          </w:p>
        </w:tc>
        <w:tc>
          <w:tcPr>
            <w:tcW w:w="2326"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00395994">
            <w:pPr>
              <w:keepNext w:val="0"/>
              <w:keepLines w:val="0"/>
              <w:pageBreakBefore w:val="0"/>
              <w:widowControl w:val="0"/>
              <w:kinsoku/>
              <w:wordWrap/>
              <w:overflowPunct/>
              <w:topLinePunct w:val="0"/>
              <w:autoSpaceDE/>
              <w:autoSpaceDN/>
              <w:bidi w:val="0"/>
              <w:adjustRightInd w:val="0"/>
              <w:snapToGrid w:val="0"/>
              <w:spacing w:line="400" w:lineRule="atLeast"/>
              <w:jc w:val="center"/>
              <w:textAlignment w:val="auto"/>
              <w:rPr>
                <w:rFonts w:hint="eastAsia" w:ascii="宋体" w:hAnsi="宋体" w:eastAsia="宋体" w:cs="宋体"/>
                <w:color w:val="auto"/>
                <w:sz w:val="21"/>
                <w:szCs w:val="21"/>
                <w:highlight w:val="none"/>
              </w:rPr>
            </w:pPr>
          </w:p>
        </w:tc>
        <w:tc>
          <w:tcPr>
            <w:tcW w:w="802"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42603772">
            <w:pPr>
              <w:keepNext w:val="0"/>
              <w:keepLines w:val="0"/>
              <w:pageBreakBefore w:val="0"/>
              <w:widowControl w:val="0"/>
              <w:kinsoku/>
              <w:wordWrap/>
              <w:overflowPunct/>
              <w:topLinePunct w:val="0"/>
              <w:autoSpaceDE/>
              <w:autoSpaceDN/>
              <w:bidi w:val="0"/>
              <w:adjustRightInd w:val="0"/>
              <w:snapToGrid w:val="0"/>
              <w:spacing w:line="400" w:lineRule="atLeast"/>
              <w:jc w:val="center"/>
              <w:textAlignment w:val="auto"/>
              <w:rPr>
                <w:rFonts w:hint="eastAsia" w:ascii="宋体" w:hAnsi="宋体" w:eastAsia="宋体" w:cs="宋体"/>
                <w:color w:val="auto"/>
                <w:sz w:val="21"/>
                <w:szCs w:val="21"/>
                <w:highlight w:val="none"/>
              </w:rPr>
            </w:pPr>
          </w:p>
        </w:tc>
        <w:tc>
          <w:tcPr>
            <w:tcW w:w="1711"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249AED02">
            <w:pPr>
              <w:keepNext w:val="0"/>
              <w:keepLines w:val="0"/>
              <w:pageBreakBefore w:val="0"/>
              <w:widowControl w:val="0"/>
              <w:kinsoku/>
              <w:wordWrap/>
              <w:overflowPunct/>
              <w:topLinePunct w:val="0"/>
              <w:autoSpaceDE/>
              <w:autoSpaceDN/>
              <w:bidi w:val="0"/>
              <w:adjustRightInd w:val="0"/>
              <w:snapToGrid w:val="0"/>
              <w:spacing w:line="400" w:lineRule="atLeast"/>
              <w:jc w:val="center"/>
              <w:textAlignment w:val="auto"/>
              <w:rPr>
                <w:rFonts w:hint="eastAsia" w:ascii="宋体" w:hAnsi="宋体" w:eastAsia="宋体" w:cs="宋体"/>
                <w:color w:val="auto"/>
                <w:sz w:val="21"/>
                <w:szCs w:val="21"/>
                <w:highlight w:val="none"/>
              </w:rPr>
            </w:pPr>
          </w:p>
        </w:tc>
      </w:tr>
    </w:tbl>
    <w:p w14:paraId="2E12DE3C">
      <w:pPr>
        <w:jc w:val="center"/>
        <w:rPr>
          <w:rFonts w:hint="eastAsia" w:ascii="宋体" w:hAnsi="宋体" w:eastAsia="宋体" w:cs="宋体"/>
          <w:color w:val="auto"/>
          <w:highlight w:val="none"/>
          <w:lang w:val="en-US" w:eastAsia="zh-CN"/>
        </w:rPr>
      </w:pPr>
    </w:p>
    <w:p w14:paraId="0D0C0567">
      <w:pPr>
        <w:pStyle w:val="2"/>
        <w:pageBreakBefore/>
        <w:jc w:val="center"/>
        <w:rPr>
          <w:rFonts w:hint="eastAsia" w:ascii="宋体" w:hAnsi="宋体" w:eastAsia="宋体" w:cs="宋体"/>
          <w:color w:val="auto"/>
          <w:highlight w:val="none"/>
        </w:rPr>
      </w:pPr>
      <w:bookmarkStart w:id="51" w:name="_Toc79410777"/>
      <w:bookmarkStart w:id="52" w:name="_Toc39848539"/>
      <w:bookmarkStart w:id="53" w:name="_Toc118578795"/>
      <w:r>
        <w:rPr>
          <w:rFonts w:hint="eastAsia" w:ascii="宋体" w:hAnsi="宋体" w:eastAsia="宋体" w:cs="宋体"/>
          <w:color w:val="auto"/>
          <w:highlight w:val="none"/>
        </w:rPr>
        <w:t>第六章 投标文件格式</w:t>
      </w:r>
      <w:bookmarkEnd w:id="51"/>
      <w:bookmarkEnd w:id="52"/>
      <w:bookmarkEnd w:id="53"/>
    </w:p>
    <w:p w14:paraId="2045922A">
      <w:pPr>
        <w:autoSpaceDE w:val="0"/>
        <w:autoSpaceDN w:val="0"/>
        <w:adjustRightInd w:val="0"/>
        <w:spacing w:line="360" w:lineRule="auto"/>
        <w:ind w:firstLine="420" w:firstLineChars="200"/>
        <w:rPr>
          <w:rFonts w:hint="eastAsia" w:ascii="宋体" w:hAnsi="宋体" w:eastAsia="宋体" w:cs="宋体"/>
          <w:color w:val="auto"/>
          <w:sz w:val="30"/>
          <w:szCs w:val="30"/>
          <w:highlight w:val="none"/>
        </w:rPr>
      </w:pPr>
      <w:r>
        <w:rPr>
          <w:rFonts w:hint="eastAsia" w:ascii="宋体" w:hAnsi="宋体" w:eastAsia="宋体" w:cs="宋体"/>
          <w:color w:val="auto"/>
          <w:highlight w:val="none"/>
        </w:rPr>
        <w:t>（本章仅提供有格式要求的材料模版，具体投标文件组成不限于以下材料，投标人需按“投标人须知”章节中“投标文件”的具体要求编制投标文件）</w:t>
      </w:r>
      <w:bookmarkStart w:id="54" w:name="EBeb340eea61fd4f73ac2e94c495d69da7"/>
      <w:r>
        <w:rPr>
          <w:rFonts w:hint="eastAsia" w:ascii="宋体" w:hAnsi="宋体" w:eastAsia="宋体" w:cs="宋体"/>
          <w:color w:val="auto"/>
          <w:highlight w:val="none"/>
        </w:rPr>
        <w:br w:type="page"/>
      </w:r>
      <w:bookmarkStart w:id="55" w:name="_Toc185266258"/>
      <w:bookmarkStart w:id="56" w:name="_Toc180158578"/>
      <w:r>
        <w:rPr>
          <w:rFonts w:hint="eastAsia" w:ascii="宋体" w:hAnsi="宋体" w:eastAsia="宋体" w:cs="宋体"/>
          <w:color w:val="auto"/>
          <w:sz w:val="30"/>
          <w:szCs w:val="30"/>
          <w:highlight w:val="none"/>
        </w:rPr>
        <w:t>封袋格式：</w:t>
      </w:r>
      <w:bookmarkEnd w:id="55"/>
      <w:bookmarkEnd w:id="56"/>
    </w:p>
    <w:p w14:paraId="46B96BE3">
      <w:pPr>
        <w:jc w:val="right"/>
        <w:rPr>
          <w:rFonts w:hint="eastAsia" w:ascii="宋体" w:hAnsi="宋体" w:eastAsia="宋体" w:cs="宋体"/>
          <w:color w:val="auto"/>
          <w:highlight w:val="none"/>
        </w:rPr>
      </w:pPr>
    </w:p>
    <w:p w14:paraId="4EA3BB2F">
      <w:pPr>
        <w:spacing w:line="360" w:lineRule="auto"/>
        <w:ind w:firstLine="2108" w:firstLineChars="700"/>
        <w:rPr>
          <w:rFonts w:hint="eastAsia" w:ascii="宋体" w:hAnsi="宋体" w:eastAsia="宋体" w:cs="宋体"/>
          <w:b/>
          <w:color w:val="auto"/>
          <w:sz w:val="30"/>
          <w:szCs w:val="20"/>
          <w:highlight w:val="none"/>
          <w:u w:val="single"/>
        </w:rPr>
      </w:pPr>
    </w:p>
    <w:p w14:paraId="1C5763EE">
      <w:pPr>
        <w:spacing w:line="360" w:lineRule="auto"/>
        <w:ind w:firstLine="2108" w:firstLineChars="700"/>
        <w:rPr>
          <w:rFonts w:hint="eastAsia" w:ascii="宋体" w:hAnsi="宋体" w:eastAsia="宋体" w:cs="宋体"/>
          <w:b/>
          <w:color w:val="auto"/>
          <w:sz w:val="30"/>
          <w:szCs w:val="20"/>
          <w:highlight w:val="none"/>
          <w:u w:val="single"/>
        </w:rPr>
      </w:pPr>
    </w:p>
    <w:p w14:paraId="74828F9B">
      <w:pPr>
        <w:spacing w:line="360" w:lineRule="auto"/>
        <w:ind w:firstLine="2108" w:firstLineChars="700"/>
        <w:rPr>
          <w:rFonts w:hint="eastAsia" w:ascii="宋体" w:hAnsi="宋体" w:eastAsia="宋体" w:cs="宋体"/>
          <w:b/>
          <w:color w:val="auto"/>
          <w:sz w:val="30"/>
          <w:szCs w:val="20"/>
          <w:highlight w:val="none"/>
        </w:rPr>
      </w:pPr>
      <w:r>
        <w:rPr>
          <w:rFonts w:hint="eastAsia" w:ascii="宋体" w:hAnsi="宋体" w:eastAsia="宋体" w:cs="宋体"/>
          <w:b/>
          <w:color w:val="auto"/>
          <w:sz w:val="30"/>
          <w:szCs w:val="20"/>
          <w:highlight w:val="none"/>
          <w:u w:val="single"/>
        </w:rPr>
        <w:t xml:space="preserve">           （项目名称）             </w:t>
      </w:r>
    </w:p>
    <w:p w14:paraId="2941622A">
      <w:pPr>
        <w:spacing w:line="360" w:lineRule="auto"/>
        <w:ind w:firstLine="420"/>
        <w:jc w:val="center"/>
        <w:rPr>
          <w:rFonts w:hint="eastAsia" w:ascii="宋体" w:hAnsi="宋体" w:eastAsia="宋体" w:cs="宋体"/>
          <w:b/>
          <w:color w:val="auto"/>
          <w:sz w:val="30"/>
          <w:szCs w:val="20"/>
          <w:highlight w:val="none"/>
        </w:rPr>
      </w:pPr>
    </w:p>
    <w:p w14:paraId="1EC6152C">
      <w:pPr>
        <w:spacing w:line="360" w:lineRule="auto"/>
        <w:ind w:firstLine="420"/>
        <w:jc w:val="center"/>
        <w:rPr>
          <w:rFonts w:hint="eastAsia" w:ascii="宋体" w:hAnsi="宋体" w:eastAsia="宋体" w:cs="宋体"/>
          <w:b/>
          <w:color w:val="auto"/>
          <w:sz w:val="30"/>
          <w:szCs w:val="20"/>
          <w:highlight w:val="none"/>
        </w:rPr>
      </w:pPr>
    </w:p>
    <w:p w14:paraId="6B7BC2FB">
      <w:pPr>
        <w:spacing w:line="360" w:lineRule="auto"/>
        <w:ind w:firstLine="420"/>
        <w:jc w:val="center"/>
        <w:rPr>
          <w:rFonts w:hint="eastAsia" w:ascii="宋体" w:hAnsi="宋体" w:eastAsia="宋体" w:cs="宋体"/>
          <w:b/>
          <w:color w:val="auto"/>
          <w:sz w:val="30"/>
          <w:szCs w:val="20"/>
          <w:highlight w:val="none"/>
        </w:rPr>
      </w:pPr>
    </w:p>
    <w:p w14:paraId="4203C3A5">
      <w:pPr>
        <w:spacing w:line="360" w:lineRule="auto"/>
        <w:ind w:firstLine="420"/>
        <w:jc w:val="center"/>
        <w:rPr>
          <w:rFonts w:hint="eastAsia" w:ascii="宋体" w:hAnsi="宋体" w:eastAsia="宋体" w:cs="宋体"/>
          <w:bCs/>
          <w:color w:val="auto"/>
          <w:spacing w:val="60"/>
          <w:sz w:val="72"/>
          <w:szCs w:val="72"/>
          <w:highlight w:val="none"/>
        </w:rPr>
      </w:pPr>
      <w:r>
        <w:rPr>
          <w:rFonts w:hint="eastAsia" w:ascii="宋体" w:hAnsi="宋体" w:eastAsia="宋体" w:cs="宋体"/>
          <w:bCs/>
          <w:color w:val="auto"/>
          <w:spacing w:val="60"/>
          <w:sz w:val="72"/>
          <w:szCs w:val="72"/>
          <w:highlight w:val="none"/>
        </w:rPr>
        <w:t>投标文件</w:t>
      </w:r>
    </w:p>
    <w:p w14:paraId="23DBFBA9">
      <w:pPr>
        <w:spacing w:line="360" w:lineRule="auto"/>
        <w:jc w:val="center"/>
        <w:rPr>
          <w:rFonts w:hint="eastAsia" w:ascii="宋体" w:hAnsi="宋体" w:eastAsia="宋体" w:cs="宋体"/>
          <w:b/>
          <w:color w:val="auto"/>
          <w:sz w:val="30"/>
          <w:szCs w:val="20"/>
          <w:highlight w:val="none"/>
        </w:rPr>
      </w:pPr>
    </w:p>
    <w:p w14:paraId="420302FD">
      <w:pPr>
        <w:spacing w:line="360" w:lineRule="auto"/>
        <w:ind w:firstLine="420"/>
        <w:jc w:val="center"/>
        <w:rPr>
          <w:rFonts w:hint="eastAsia" w:ascii="宋体" w:hAnsi="宋体" w:eastAsia="宋体" w:cs="宋体"/>
          <w:b/>
          <w:color w:val="auto"/>
          <w:sz w:val="30"/>
          <w:szCs w:val="20"/>
          <w:highlight w:val="none"/>
        </w:rPr>
      </w:pPr>
    </w:p>
    <w:p w14:paraId="4D1B59E6">
      <w:pPr>
        <w:spacing w:line="360" w:lineRule="auto"/>
        <w:ind w:firstLine="420"/>
        <w:jc w:val="center"/>
        <w:rPr>
          <w:rFonts w:hint="eastAsia" w:ascii="宋体" w:hAnsi="宋体" w:eastAsia="宋体" w:cs="宋体"/>
          <w:b/>
          <w:color w:val="auto"/>
          <w:sz w:val="30"/>
          <w:szCs w:val="20"/>
          <w:highlight w:val="none"/>
        </w:rPr>
      </w:pPr>
    </w:p>
    <w:p w14:paraId="39E40EAD">
      <w:pPr>
        <w:spacing w:line="360" w:lineRule="auto"/>
        <w:ind w:firstLine="420"/>
        <w:jc w:val="center"/>
        <w:rPr>
          <w:rFonts w:hint="eastAsia" w:ascii="宋体" w:hAnsi="宋体" w:eastAsia="宋体" w:cs="宋体"/>
          <w:b/>
          <w:color w:val="auto"/>
          <w:sz w:val="30"/>
          <w:szCs w:val="20"/>
          <w:highlight w:val="none"/>
        </w:rPr>
      </w:pPr>
    </w:p>
    <w:p w14:paraId="1FF2CBF8">
      <w:pPr>
        <w:spacing w:line="360" w:lineRule="auto"/>
        <w:ind w:firstLine="2138" w:firstLineChars="710"/>
        <w:rPr>
          <w:rFonts w:hint="eastAsia" w:ascii="宋体" w:hAnsi="宋体" w:eastAsia="宋体" w:cs="宋体"/>
          <w:b/>
          <w:color w:val="auto"/>
          <w:sz w:val="30"/>
          <w:szCs w:val="20"/>
          <w:highlight w:val="none"/>
          <w:u w:val="single"/>
        </w:rPr>
      </w:pPr>
      <w:r>
        <w:rPr>
          <w:rFonts w:hint="eastAsia" w:ascii="宋体" w:hAnsi="宋体" w:eastAsia="宋体" w:cs="宋体"/>
          <w:b/>
          <w:color w:val="auto"/>
          <w:sz w:val="30"/>
          <w:szCs w:val="20"/>
          <w:highlight w:val="none"/>
        </w:rPr>
        <w:t>投   标  人：</w:t>
      </w:r>
      <w:r>
        <w:rPr>
          <w:rFonts w:hint="eastAsia" w:ascii="宋体" w:hAnsi="宋体" w:eastAsia="宋体" w:cs="宋体"/>
          <w:b/>
          <w:color w:val="auto"/>
          <w:sz w:val="30"/>
          <w:szCs w:val="20"/>
          <w:highlight w:val="none"/>
          <w:u w:val="single"/>
        </w:rPr>
        <w:t xml:space="preserve">        (盖章)         </w:t>
      </w:r>
    </w:p>
    <w:p w14:paraId="7BD0A407">
      <w:pPr>
        <w:spacing w:line="360" w:lineRule="auto"/>
        <w:rPr>
          <w:rFonts w:hint="eastAsia" w:ascii="宋体" w:hAnsi="宋体" w:eastAsia="宋体" w:cs="宋体"/>
          <w:b/>
          <w:color w:val="auto"/>
          <w:sz w:val="30"/>
          <w:szCs w:val="20"/>
          <w:highlight w:val="none"/>
        </w:rPr>
      </w:pPr>
    </w:p>
    <w:p w14:paraId="1231998F">
      <w:pPr>
        <w:spacing w:line="360" w:lineRule="auto"/>
        <w:ind w:firstLine="2108" w:firstLineChars="700"/>
        <w:rPr>
          <w:rFonts w:hint="eastAsia" w:ascii="宋体" w:hAnsi="宋体" w:eastAsia="宋体" w:cs="宋体"/>
          <w:b/>
          <w:color w:val="auto"/>
          <w:sz w:val="30"/>
          <w:szCs w:val="20"/>
          <w:highlight w:val="none"/>
        </w:rPr>
      </w:pPr>
      <w:r>
        <w:rPr>
          <w:rFonts w:hint="eastAsia" w:ascii="宋体" w:hAnsi="宋体" w:eastAsia="宋体" w:cs="宋体"/>
          <w:b/>
          <w:color w:val="auto"/>
          <w:sz w:val="30"/>
          <w:szCs w:val="20"/>
          <w:highlight w:val="none"/>
        </w:rPr>
        <w:t>法定代表人</w:t>
      </w:r>
    </w:p>
    <w:p w14:paraId="40580962">
      <w:pPr>
        <w:spacing w:line="360" w:lineRule="auto"/>
        <w:ind w:firstLine="1837" w:firstLineChars="610"/>
        <w:rPr>
          <w:rFonts w:hint="eastAsia" w:ascii="宋体" w:hAnsi="宋体" w:eastAsia="宋体" w:cs="宋体"/>
          <w:b/>
          <w:color w:val="auto"/>
          <w:sz w:val="30"/>
          <w:szCs w:val="20"/>
          <w:highlight w:val="none"/>
          <w:u w:val="single"/>
          <w:lang w:val="en-US" w:eastAsia="zh-CN"/>
        </w:rPr>
      </w:pPr>
      <w:r>
        <w:rPr>
          <w:rFonts w:hint="eastAsia" w:ascii="宋体" w:hAnsi="宋体" w:eastAsia="宋体" w:cs="宋体"/>
          <w:b/>
          <w:color w:val="auto"/>
          <w:sz w:val="30"/>
          <w:szCs w:val="20"/>
          <w:highlight w:val="none"/>
        </w:rPr>
        <w:t>（或委托代理人）：</w:t>
      </w:r>
      <w:r>
        <w:rPr>
          <w:rFonts w:hint="eastAsia" w:ascii="宋体" w:hAnsi="宋体" w:eastAsia="宋体" w:cs="宋体"/>
          <w:b/>
          <w:color w:val="auto"/>
          <w:sz w:val="30"/>
          <w:szCs w:val="20"/>
          <w:highlight w:val="none"/>
          <w:u w:val="single"/>
        </w:rPr>
        <w:t xml:space="preserve">     (签字或盖章)   </w:t>
      </w:r>
      <w:r>
        <w:rPr>
          <w:rFonts w:hint="eastAsia" w:ascii="宋体" w:hAnsi="宋体" w:eastAsia="宋体" w:cs="宋体"/>
          <w:b/>
          <w:color w:val="auto"/>
          <w:sz w:val="30"/>
          <w:szCs w:val="20"/>
          <w:highlight w:val="none"/>
          <w:u w:val="single"/>
          <w:lang w:val="en-US" w:eastAsia="zh-CN"/>
        </w:rPr>
        <w:t xml:space="preserve"> </w:t>
      </w:r>
    </w:p>
    <w:p w14:paraId="20CC2D24">
      <w:pPr>
        <w:spacing w:line="360" w:lineRule="auto"/>
        <w:rPr>
          <w:rFonts w:hint="eastAsia" w:ascii="宋体" w:hAnsi="宋体" w:eastAsia="宋体" w:cs="宋体"/>
          <w:b/>
          <w:color w:val="auto"/>
          <w:sz w:val="30"/>
          <w:szCs w:val="20"/>
          <w:highlight w:val="none"/>
        </w:rPr>
      </w:pPr>
    </w:p>
    <w:p w14:paraId="324D40CF">
      <w:pPr>
        <w:spacing w:line="360" w:lineRule="auto"/>
        <w:jc w:val="center"/>
        <w:rPr>
          <w:rFonts w:hint="eastAsia" w:ascii="宋体" w:hAnsi="宋体" w:eastAsia="宋体" w:cs="宋体"/>
          <w:b/>
          <w:color w:val="auto"/>
          <w:sz w:val="30"/>
          <w:szCs w:val="20"/>
          <w:highlight w:val="none"/>
        </w:rPr>
      </w:pPr>
      <w:r>
        <w:rPr>
          <w:rFonts w:hint="eastAsia" w:ascii="宋体" w:hAnsi="宋体" w:eastAsia="宋体" w:cs="宋体"/>
          <w:b/>
          <w:color w:val="auto"/>
          <w:sz w:val="30"/>
          <w:szCs w:val="20"/>
          <w:highlight w:val="none"/>
        </w:rPr>
        <w:t>日   期：      年    月    日</w:t>
      </w:r>
    </w:p>
    <w:p w14:paraId="01867733">
      <w:pPr>
        <w:pStyle w:val="24"/>
        <w:spacing w:line="360" w:lineRule="auto"/>
        <w:ind w:firstLine="1363" w:firstLineChars="487"/>
        <w:rPr>
          <w:rFonts w:hint="eastAsia" w:ascii="宋体" w:hAnsi="宋体" w:eastAsia="宋体" w:cs="宋体"/>
          <w:color w:val="auto"/>
          <w:sz w:val="28"/>
          <w:szCs w:val="28"/>
          <w:highlight w:val="none"/>
          <w:u w:val="single"/>
        </w:rPr>
      </w:pPr>
    </w:p>
    <w:p w14:paraId="039826B7">
      <w:pPr>
        <w:pStyle w:val="24"/>
        <w:spacing w:line="360" w:lineRule="auto"/>
        <w:ind w:firstLine="1363" w:firstLineChars="487"/>
        <w:rPr>
          <w:rFonts w:hint="eastAsia" w:ascii="宋体" w:hAnsi="宋体" w:eastAsia="宋体" w:cs="宋体"/>
          <w:color w:val="auto"/>
          <w:sz w:val="28"/>
          <w:szCs w:val="28"/>
          <w:highlight w:val="none"/>
          <w:u w:val="single"/>
        </w:rPr>
      </w:pPr>
    </w:p>
    <w:p w14:paraId="40250BF7">
      <w:pPr>
        <w:pStyle w:val="24"/>
        <w:spacing w:line="360" w:lineRule="auto"/>
        <w:ind w:firstLine="1363" w:firstLineChars="487"/>
        <w:rPr>
          <w:rFonts w:hint="eastAsia" w:ascii="宋体" w:hAnsi="宋体" w:eastAsia="宋体" w:cs="宋体"/>
          <w:color w:val="auto"/>
          <w:sz w:val="28"/>
          <w:szCs w:val="28"/>
          <w:highlight w:val="none"/>
          <w:u w:val="single"/>
        </w:rPr>
      </w:pPr>
    </w:p>
    <w:p w14:paraId="75C2567B">
      <w:pPr>
        <w:pageBreakBefore/>
        <w:spacing w:line="400" w:lineRule="exact"/>
        <w:outlineLvl w:val="1"/>
        <w:rPr>
          <w:rFonts w:hint="eastAsia" w:ascii="宋体" w:hAnsi="宋体" w:eastAsia="宋体" w:cs="宋体"/>
          <w:color w:val="auto"/>
          <w:sz w:val="30"/>
          <w:szCs w:val="30"/>
          <w:highlight w:val="none"/>
        </w:rPr>
      </w:pPr>
      <w:bookmarkStart w:id="57" w:name="_Toc180158579"/>
      <w:bookmarkStart w:id="58" w:name="_Toc185266259"/>
      <w:r>
        <w:rPr>
          <w:rFonts w:hint="eastAsia" w:ascii="宋体" w:hAnsi="宋体" w:eastAsia="宋体" w:cs="宋体"/>
          <w:color w:val="auto"/>
          <w:sz w:val="30"/>
          <w:szCs w:val="30"/>
          <w:highlight w:val="none"/>
        </w:rPr>
        <w:t>封面格式：</w:t>
      </w:r>
      <w:bookmarkEnd w:id="57"/>
      <w:bookmarkEnd w:id="58"/>
    </w:p>
    <w:p w14:paraId="48CAE723">
      <w:pPr>
        <w:jc w:val="right"/>
        <w:rPr>
          <w:rFonts w:hint="eastAsia" w:ascii="宋体" w:hAnsi="宋体" w:eastAsia="宋体" w:cs="宋体"/>
          <w:color w:val="auto"/>
          <w:highlight w:val="none"/>
        </w:rPr>
      </w:pPr>
    </w:p>
    <w:p w14:paraId="45BC1BA6">
      <w:pPr>
        <w:spacing w:line="360" w:lineRule="auto"/>
        <w:ind w:firstLine="2108" w:firstLineChars="700"/>
        <w:jc w:val="right"/>
        <w:rPr>
          <w:rFonts w:hint="eastAsia" w:ascii="宋体" w:hAnsi="宋体" w:eastAsia="宋体" w:cs="宋体"/>
          <w:b/>
          <w:color w:val="auto"/>
          <w:sz w:val="30"/>
          <w:szCs w:val="20"/>
          <w:highlight w:val="none"/>
        </w:rPr>
      </w:pPr>
      <w:r>
        <w:rPr>
          <w:rFonts w:hint="eastAsia" w:ascii="宋体" w:hAnsi="宋体" w:eastAsia="宋体" w:cs="宋体"/>
          <w:b/>
          <w:color w:val="auto"/>
          <w:sz w:val="30"/>
          <w:szCs w:val="20"/>
          <w:highlight w:val="none"/>
          <w:lang w:val="en-US" w:eastAsia="zh-CN"/>
        </w:rPr>
        <w:t xml:space="preserve"> </w:t>
      </w:r>
      <w:r>
        <w:rPr>
          <w:rFonts w:hint="eastAsia" w:ascii="宋体" w:hAnsi="宋体" w:eastAsia="宋体" w:cs="宋体"/>
          <w:b/>
          <w:color w:val="auto"/>
          <w:sz w:val="30"/>
          <w:szCs w:val="20"/>
          <w:highlight w:val="none"/>
          <w:u w:val="single"/>
        </w:rPr>
        <w:t xml:space="preserve">         </w:t>
      </w:r>
      <w:r>
        <w:rPr>
          <w:rFonts w:hint="eastAsia" w:ascii="宋体" w:hAnsi="宋体" w:eastAsia="宋体" w:cs="宋体"/>
          <w:b/>
          <w:color w:val="auto"/>
          <w:sz w:val="30"/>
          <w:szCs w:val="20"/>
          <w:highlight w:val="none"/>
        </w:rPr>
        <w:t>本</w:t>
      </w:r>
    </w:p>
    <w:p w14:paraId="6960AB7B">
      <w:pPr>
        <w:spacing w:line="360" w:lineRule="auto"/>
        <w:ind w:firstLine="2108" w:firstLineChars="700"/>
        <w:rPr>
          <w:rFonts w:hint="eastAsia" w:ascii="宋体" w:hAnsi="宋体" w:eastAsia="宋体" w:cs="宋体"/>
          <w:b/>
          <w:color w:val="auto"/>
          <w:sz w:val="30"/>
          <w:szCs w:val="20"/>
          <w:highlight w:val="none"/>
          <w:u w:val="single"/>
        </w:rPr>
      </w:pPr>
    </w:p>
    <w:p w14:paraId="7299DFCD">
      <w:pPr>
        <w:spacing w:line="360" w:lineRule="auto"/>
        <w:ind w:firstLine="2108" w:firstLineChars="700"/>
        <w:rPr>
          <w:rFonts w:hint="eastAsia" w:ascii="宋体" w:hAnsi="宋体" w:eastAsia="宋体" w:cs="宋体"/>
          <w:b/>
          <w:color w:val="auto"/>
          <w:sz w:val="30"/>
          <w:szCs w:val="20"/>
          <w:highlight w:val="none"/>
        </w:rPr>
      </w:pPr>
      <w:r>
        <w:rPr>
          <w:rFonts w:hint="eastAsia" w:ascii="宋体" w:hAnsi="宋体" w:eastAsia="宋体" w:cs="宋体"/>
          <w:b/>
          <w:color w:val="auto"/>
          <w:sz w:val="30"/>
          <w:szCs w:val="20"/>
          <w:highlight w:val="none"/>
          <w:u w:val="single"/>
        </w:rPr>
        <w:t xml:space="preserve">           （项目名称）             </w:t>
      </w:r>
    </w:p>
    <w:p w14:paraId="47BBB079">
      <w:pPr>
        <w:spacing w:line="360" w:lineRule="auto"/>
        <w:ind w:firstLine="420"/>
        <w:jc w:val="center"/>
        <w:rPr>
          <w:rFonts w:hint="eastAsia" w:ascii="宋体" w:hAnsi="宋体" w:eastAsia="宋体" w:cs="宋体"/>
          <w:b/>
          <w:color w:val="auto"/>
          <w:sz w:val="30"/>
          <w:szCs w:val="20"/>
          <w:highlight w:val="none"/>
        </w:rPr>
      </w:pPr>
    </w:p>
    <w:p w14:paraId="6F603F9C">
      <w:pPr>
        <w:spacing w:line="360" w:lineRule="auto"/>
        <w:ind w:firstLine="420"/>
        <w:jc w:val="center"/>
        <w:rPr>
          <w:rFonts w:hint="eastAsia" w:ascii="宋体" w:hAnsi="宋体" w:eastAsia="宋体" w:cs="宋体"/>
          <w:b/>
          <w:color w:val="auto"/>
          <w:sz w:val="30"/>
          <w:szCs w:val="20"/>
          <w:highlight w:val="none"/>
        </w:rPr>
      </w:pPr>
    </w:p>
    <w:p w14:paraId="7F1627FD">
      <w:pPr>
        <w:spacing w:line="360" w:lineRule="auto"/>
        <w:ind w:firstLine="420"/>
        <w:jc w:val="center"/>
        <w:rPr>
          <w:rFonts w:hint="eastAsia" w:ascii="宋体" w:hAnsi="宋体" w:eastAsia="宋体" w:cs="宋体"/>
          <w:b/>
          <w:color w:val="auto"/>
          <w:sz w:val="30"/>
          <w:szCs w:val="20"/>
          <w:highlight w:val="none"/>
        </w:rPr>
      </w:pPr>
    </w:p>
    <w:p w14:paraId="6F4FB991">
      <w:pPr>
        <w:spacing w:line="360" w:lineRule="auto"/>
        <w:ind w:firstLine="420"/>
        <w:jc w:val="center"/>
        <w:rPr>
          <w:rFonts w:hint="eastAsia" w:ascii="宋体" w:hAnsi="宋体" w:eastAsia="宋体" w:cs="宋体"/>
          <w:bCs/>
          <w:color w:val="auto"/>
          <w:spacing w:val="60"/>
          <w:sz w:val="72"/>
          <w:szCs w:val="72"/>
          <w:highlight w:val="none"/>
        </w:rPr>
      </w:pPr>
      <w:r>
        <w:rPr>
          <w:rFonts w:hint="eastAsia" w:ascii="宋体" w:hAnsi="宋体" w:eastAsia="宋体" w:cs="宋体"/>
          <w:bCs/>
          <w:color w:val="auto"/>
          <w:spacing w:val="60"/>
          <w:sz w:val="72"/>
          <w:szCs w:val="72"/>
          <w:highlight w:val="none"/>
        </w:rPr>
        <w:t>投标文件</w:t>
      </w:r>
    </w:p>
    <w:p w14:paraId="58EB50CE">
      <w:pPr>
        <w:spacing w:line="360" w:lineRule="auto"/>
        <w:jc w:val="center"/>
        <w:rPr>
          <w:rFonts w:hint="eastAsia" w:ascii="宋体" w:hAnsi="宋体" w:eastAsia="宋体" w:cs="宋体"/>
          <w:b/>
          <w:color w:val="auto"/>
          <w:sz w:val="30"/>
          <w:szCs w:val="20"/>
          <w:highlight w:val="none"/>
        </w:rPr>
      </w:pPr>
    </w:p>
    <w:p w14:paraId="0DF37172">
      <w:pPr>
        <w:spacing w:line="360" w:lineRule="auto"/>
        <w:ind w:firstLine="420"/>
        <w:jc w:val="center"/>
        <w:rPr>
          <w:rFonts w:hint="eastAsia" w:ascii="宋体" w:hAnsi="宋体" w:eastAsia="宋体" w:cs="宋体"/>
          <w:b/>
          <w:color w:val="auto"/>
          <w:sz w:val="30"/>
          <w:szCs w:val="20"/>
          <w:highlight w:val="none"/>
        </w:rPr>
      </w:pPr>
    </w:p>
    <w:p w14:paraId="41CB2ACF">
      <w:pPr>
        <w:spacing w:line="360" w:lineRule="auto"/>
        <w:ind w:firstLine="420"/>
        <w:jc w:val="center"/>
        <w:rPr>
          <w:rFonts w:hint="eastAsia" w:ascii="宋体" w:hAnsi="宋体" w:eastAsia="宋体" w:cs="宋体"/>
          <w:b/>
          <w:color w:val="auto"/>
          <w:sz w:val="30"/>
          <w:szCs w:val="20"/>
          <w:highlight w:val="none"/>
        </w:rPr>
      </w:pPr>
    </w:p>
    <w:p w14:paraId="2067C23B">
      <w:pPr>
        <w:spacing w:line="360" w:lineRule="auto"/>
        <w:ind w:firstLine="420"/>
        <w:jc w:val="center"/>
        <w:rPr>
          <w:rFonts w:hint="eastAsia" w:ascii="宋体" w:hAnsi="宋体" w:eastAsia="宋体" w:cs="宋体"/>
          <w:b/>
          <w:color w:val="auto"/>
          <w:sz w:val="30"/>
          <w:szCs w:val="20"/>
          <w:highlight w:val="none"/>
        </w:rPr>
      </w:pPr>
    </w:p>
    <w:p w14:paraId="39917028">
      <w:pPr>
        <w:spacing w:line="360" w:lineRule="auto"/>
        <w:ind w:firstLine="2138" w:firstLineChars="710"/>
        <w:rPr>
          <w:rFonts w:hint="eastAsia" w:ascii="宋体" w:hAnsi="宋体" w:eastAsia="宋体" w:cs="宋体"/>
          <w:b/>
          <w:color w:val="auto"/>
          <w:sz w:val="30"/>
          <w:szCs w:val="20"/>
          <w:highlight w:val="none"/>
          <w:u w:val="single"/>
        </w:rPr>
      </w:pPr>
      <w:r>
        <w:rPr>
          <w:rFonts w:hint="eastAsia" w:ascii="宋体" w:hAnsi="宋体" w:eastAsia="宋体" w:cs="宋体"/>
          <w:b/>
          <w:color w:val="auto"/>
          <w:sz w:val="30"/>
          <w:szCs w:val="20"/>
          <w:highlight w:val="none"/>
        </w:rPr>
        <w:t>投   标  人：</w:t>
      </w:r>
      <w:r>
        <w:rPr>
          <w:rFonts w:hint="eastAsia" w:ascii="宋体" w:hAnsi="宋体" w:eastAsia="宋体" w:cs="宋体"/>
          <w:b/>
          <w:color w:val="auto"/>
          <w:sz w:val="30"/>
          <w:szCs w:val="20"/>
          <w:highlight w:val="none"/>
          <w:u w:val="single"/>
        </w:rPr>
        <w:t xml:space="preserve">         (盖章)         </w:t>
      </w:r>
    </w:p>
    <w:p w14:paraId="41BFC4BE">
      <w:pPr>
        <w:spacing w:line="360" w:lineRule="auto"/>
        <w:rPr>
          <w:rFonts w:hint="eastAsia" w:ascii="宋体" w:hAnsi="宋体" w:eastAsia="宋体" w:cs="宋体"/>
          <w:b/>
          <w:color w:val="auto"/>
          <w:sz w:val="30"/>
          <w:szCs w:val="20"/>
          <w:highlight w:val="none"/>
        </w:rPr>
      </w:pPr>
    </w:p>
    <w:p w14:paraId="354728D4">
      <w:pPr>
        <w:spacing w:line="360" w:lineRule="auto"/>
        <w:ind w:firstLine="2108" w:firstLineChars="700"/>
        <w:rPr>
          <w:rFonts w:hint="eastAsia" w:ascii="宋体" w:hAnsi="宋体" w:eastAsia="宋体" w:cs="宋体"/>
          <w:b/>
          <w:color w:val="auto"/>
          <w:sz w:val="30"/>
          <w:szCs w:val="20"/>
          <w:highlight w:val="none"/>
        </w:rPr>
      </w:pPr>
      <w:r>
        <w:rPr>
          <w:rFonts w:hint="eastAsia" w:ascii="宋体" w:hAnsi="宋体" w:eastAsia="宋体" w:cs="宋体"/>
          <w:b/>
          <w:color w:val="auto"/>
          <w:sz w:val="30"/>
          <w:szCs w:val="20"/>
          <w:highlight w:val="none"/>
        </w:rPr>
        <w:t>法定代表人</w:t>
      </w:r>
    </w:p>
    <w:p w14:paraId="6CC0E9BD">
      <w:pPr>
        <w:spacing w:line="360" w:lineRule="auto"/>
        <w:ind w:firstLine="1837" w:firstLineChars="610"/>
        <w:rPr>
          <w:rFonts w:hint="eastAsia" w:ascii="宋体" w:hAnsi="宋体" w:eastAsia="宋体" w:cs="宋体"/>
          <w:b/>
          <w:color w:val="auto"/>
          <w:sz w:val="30"/>
          <w:szCs w:val="20"/>
          <w:highlight w:val="none"/>
          <w:u w:val="single"/>
          <w:lang w:val="en-US" w:eastAsia="zh-CN"/>
        </w:rPr>
      </w:pPr>
      <w:r>
        <w:rPr>
          <w:rFonts w:hint="eastAsia" w:ascii="宋体" w:hAnsi="宋体" w:eastAsia="宋体" w:cs="宋体"/>
          <w:b/>
          <w:color w:val="auto"/>
          <w:sz w:val="30"/>
          <w:szCs w:val="20"/>
          <w:highlight w:val="none"/>
        </w:rPr>
        <w:t>（或委托代理人）：</w:t>
      </w:r>
      <w:r>
        <w:rPr>
          <w:rFonts w:hint="eastAsia" w:ascii="宋体" w:hAnsi="宋体" w:eastAsia="宋体" w:cs="宋体"/>
          <w:b/>
          <w:color w:val="auto"/>
          <w:sz w:val="30"/>
          <w:szCs w:val="20"/>
          <w:highlight w:val="none"/>
          <w:u w:val="single"/>
        </w:rPr>
        <w:t xml:space="preserve">     (签字或盖章)    </w:t>
      </w:r>
      <w:r>
        <w:rPr>
          <w:rFonts w:hint="eastAsia" w:ascii="宋体" w:hAnsi="宋体" w:eastAsia="宋体" w:cs="宋体"/>
          <w:b/>
          <w:color w:val="auto"/>
          <w:sz w:val="30"/>
          <w:szCs w:val="20"/>
          <w:highlight w:val="none"/>
          <w:u w:val="single"/>
          <w:lang w:val="en-US" w:eastAsia="zh-CN"/>
        </w:rPr>
        <w:t xml:space="preserve"> </w:t>
      </w:r>
    </w:p>
    <w:p w14:paraId="227FB433">
      <w:pPr>
        <w:spacing w:line="360" w:lineRule="auto"/>
        <w:rPr>
          <w:rFonts w:hint="eastAsia" w:ascii="宋体" w:hAnsi="宋体" w:eastAsia="宋体" w:cs="宋体"/>
          <w:b/>
          <w:color w:val="auto"/>
          <w:sz w:val="30"/>
          <w:szCs w:val="20"/>
          <w:highlight w:val="none"/>
        </w:rPr>
      </w:pPr>
    </w:p>
    <w:p w14:paraId="0A2EF29D">
      <w:pPr>
        <w:spacing w:line="360" w:lineRule="auto"/>
        <w:jc w:val="center"/>
        <w:rPr>
          <w:rFonts w:hint="eastAsia" w:ascii="宋体" w:hAnsi="宋体" w:eastAsia="宋体" w:cs="宋体"/>
          <w:b/>
          <w:color w:val="auto"/>
          <w:sz w:val="30"/>
          <w:szCs w:val="20"/>
          <w:highlight w:val="none"/>
        </w:rPr>
      </w:pPr>
      <w:r>
        <w:rPr>
          <w:rFonts w:hint="eastAsia" w:ascii="宋体" w:hAnsi="宋体" w:eastAsia="宋体" w:cs="宋体"/>
          <w:b/>
          <w:color w:val="auto"/>
          <w:sz w:val="30"/>
          <w:szCs w:val="20"/>
          <w:highlight w:val="none"/>
        </w:rPr>
        <w:t>日   期：      年    月    日</w:t>
      </w:r>
    </w:p>
    <w:p w14:paraId="1086E6BC">
      <w:pPr>
        <w:pStyle w:val="24"/>
        <w:spacing w:line="360" w:lineRule="auto"/>
        <w:ind w:firstLine="1363" w:firstLineChars="487"/>
        <w:rPr>
          <w:rFonts w:hint="eastAsia" w:ascii="宋体" w:hAnsi="宋体" w:eastAsia="宋体" w:cs="宋体"/>
          <w:color w:val="auto"/>
          <w:sz w:val="28"/>
          <w:szCs w:val="28"/>
          <w:highlight w:val="none"/>
          <w:u w:val="single"/>
        </w:rPr>
      </w:pPr>
    </w:p>
    <w:p w14:paraId="2CC66685">
      <w:pPr>
        <w:pStyle w:val="24"/>
        <w:spacing w:line="360" w:lineRule="auto"/>
        <w:ind w:firstLine="1363" w:firstLineChars="487"/>
        <w:rPr>
          <w:rFonts w:hint="eastAsia" w:ascii="宋体" w:hAnsi="宋体" w:eastAsia="宋体" w:cs="宋体"/>
          <w:color w:val="auto"/>
          <w:sz w:val="28"/>
          <w:szCs w:val="28"/>
          <w:highlight w:val="none"/>
          <w:u w:val="single"/>
        </w:rPr>
      </w:pPr>
    </w:p>
    <w:p w14:paraId="0983D4E2">
      <w:pPr>
        <w:pStyle w:val="24"/>
        <w:spacing w:line="360" w:lineRule="auto"/>
        <w:ind w:firstLine="1363" w:firstLineChars="487"/>
        <w:rPr>
          <w:rFonts w:hint="eastAsia" w:ascii="宋体" w:hAnsi="宋体" w:eastAsia="宋体" w:cs="宋体"/>
          <w:color w:val="auto"/>
          <w:sz w:val="28"/>
          <w:szCs w:val="28"/>
          <w:highlight w:val="none"/>
          <w:u w:val="single"/>
        </w:rPr>
      </w:pPr>
    </w:p>
    <w:p w14:paraId="06F23A26">
      <w:pPr>
        <w:pStyle w:val="25"/>
        <w:pageBreakBefore/>
        <w:widowControl w:val="0"/>
        <w:spacing w:after="100" w:afterAutospacing="1"/>
        <w:jc w:val="center"/>
        <w:rPr>
          <w:rFonts w:hint="eastAsia" w:ascii="宋体" w:hAnsi="宋体" w:eastAsia="宋体" w:cs="宋体"/>
          <w:color w:val="auto"/>
          <w:sz w:val="30"/>
          <w:szCs w:val="30"/>
          <w:highlight w:val="none"/>
        </w:rPr>
      </w:pPr>
      <w:r>
        <w:rPr>
          <w:rFonts w:hint="eastAsia" w:ascii="宋体" w:hAnsi="宋体" w:eastAsia="宋体" w:cs="宋体"/>
          <w:color w:val="auto"/>
          <w:sz w:val="30"/>
          <w:szCs w:val="30"/>
          <w:highlight w:val="none"/>
        </w:rPr>
        <w:t>目   录</w:t>
      </w:r>
    </w:p>
    <w:p w14:paraId="6D43970A">
      <w:pPr>
        <w:pStyle w:val="25"/>
        <w:spacing w:line="600" w:lineRule="exact"/>
        <w:ind w:firstLine="482"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（一）投标函</w:t>
      </w:r>
    </w:p>
    <w:p w14:paraId="70CF2D91">
      <w:pPr>
        <w:pStyle w:val="25"/>
        <w:spacing w:line="600" w:lineRule="exact"/>
        <w:ind w:firstLine="482"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（二）法定代表人身份证明</w:t>
      </w:r>
    </w:p>
    <w:p w14:paraId="7B1F8C77">
      <w:pPr>
        <w:pStyle w:val="25"/>
        <w:spacing w:line="600" w:lineRule="exact"/>
        <w:ind w:firstLine="482"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（三）授权委托书（如有授权）</w:t>
      </w:r>
    </w:p>
    <w:p w14:paraId="59579E66">
      <w:pPr>
        <w:pStyle w:val="25"/>
        <w:spacing w:line="600" w:lineRule="exact"/>
        <w:ind w:firstLine="482"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（四）资格审查资料</w:t>
      </w:r>
    </w:p>
    <w:p w14:paraId="4811D1E5">
      <w:pPr>
        <w:pStyle w:val="25"/>
        <w:spacing w:line="600" w:lineRule="exact"/>
        <w:ind w:firstLine="482"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（五）投标报价表</w:t>
      </w:r>
    </w:p>
    <w:p w14:paraId="76F83998">
      <w:pPr>
        <w:pStyle w:val="25"/>
        <w:spacing w:line="600" w:lineRule="exact"/>
        <w:ind w:firstLine="482"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（六）其他材料</w:t>
      </w:r>
    </w:p>
    <w:p w14:paraId="1D517293">
      <w:pPr>
        <w:snapToGrid w:val="0"/>
        <w:spacing w:line="360" w:lineRule="auto"/>
        <w:ind w:firstLine="422" w:firstLineChars="200"/>
        <w:rPr>
          <w:rFonts w:hint="eastAsia" w:ascii="宋体" w:hAnsi="宋体" w:eastAsia="宋体" w:cs="宋体"/>
          <w:b/>
          <w:bCs/>
          <w:color w:val="auto"/>
          <w:highlight w:val="none"/>
        </w:rPr>
      </w:pPr>
      <w:r>
        <w:rPr>
          <w:rFonts w:hint="eastAsia" w:ascii="宋体" w:hAnsi="宋体" w:eastAsia="宋体" w:cs="宋体"/>
          <w:b/>
          <w:bCs/>
          <w:color w:val="auto"/>
          <w:highlight w:val="none"/>
        </w:rPr>
        <w:t xml:space="preserve"> </w:t>
      </w:r>
    </w:p>
    <w:p w14:paraId="3FA53C47">
      <w:pPr>
        <w:snapToGrid w:val="0"/>
        <w:spacing w:line="360" w:lineRule="auto"/>
        <w:ind w:firstLine="422" w:firstLineChars="200"/>
        <w:rPr>
          <w:rFonts w:hint="eastAsia" w:ascii="宋体" w:hAnsi="宋体" w:eastAsia="宋体" w:cs="宋体"/>
          <w:b/>
          <w:bCs/>
          <w:color w:val="auto"/>
          <w:highlight w:val="none"/>
        </w:rPr>
      </w:pPr>
    </w:p>
    <w:p w14:paraId="36AF516F">
      <w:pPr>
        <w:pStyle w:val="24"/>
        <w:spacing w:line="360" w:lineRule="auto"/>
        <w:rPr>
          <w:rFonts w:hint="eastAsia" w:ascii="宋体" w:hAnsi="宋体" w:eastAsia="宋体" w:cs="宋体"/>
          <w:color w:val="auto"/>
          <w:sz w:val="28"/>
          <w:szCs w:val="28"/>
          <w:highlight w:val="none"/>
        </w:rPr>
      </w:pPr>
    </w:p>
    <w:p w14:paraId="3842F0D0">
      <w:pPr>
        <w:pStyle w:val="24"/>
        <w:spacing w:line="360" w:lineRule="auto"/>
        <w:rPr>
          <w:rFonts w:hint="eastAsia" w:ascii="宋体" w:hAnsi="宋体" w:eastAsia="宋体" w:cs="宋体"/>
          <w:color w:val="auto"/>
          <w:sz w:val="28"/>
          <w:szCs w:val="28"/>
          <w:highlight w:val="none"/>
        </w:rPr>
      </w:pPr>
    </w:p>
    <w:p w14:paraId="130B3898">
      <w:pPr>
        <w:pStyle w:val="24"/>
        <w:spacing w:line="360" w:lineRule="auto"/>
        <w:rPr>
          <w:rFonts w:hint="eastAsia" w:ascii="宋体" w:hAnsi="宋体" w:eastAsia="宋体" w:cs="宋体"/>
          <w:color w:val="auto"/>
          <w:sz w:val="28"/>
          <w:szCs w:val="28"/>
          <w:highlight w:val="none"/>
        </w:rPr>
      </w:pPr>
    </w:p>
    <w:p w14:paraId="4EDCB854">
      <w:pPr>
        <w:pStyle w:val="24"/>
        <w:spacing w:line="360" w:lineRule="auto"/>
        <w:rPr>
          <w:rFonts w:hint="eastAsia" w:ascii="宋体" w:hAnsi="宋体" w:eastAsia="宋体" w:cs="宋体"/>
          <w:color w:val="auto"/>
          <w:sz w:val="28"/>
          <w:szCs w:val="28"/>
          <w:highlight w:val="none"/>
        </w:rPr>
      </w:pPr>
    </w:p>
    <w:p w14:paraId="1DE1B3FF">
      <w:pPr>
        <w:pStyle w:val="24"/>
        <w:spacing w:line="360" w:lineRule="auto"/>
        <w:rPr>
          <w:rFonts w:hint="eastAsia" w:ascii="宋体" w:hAnsi="宋体" w:eastAsia="宋体" w:cs="宋体"/>
          <w:color w:val="auto"/>
          <w:sz w:val="28"/>
          <w:szCs w:val="28"/>
          <w:highlight w:val="none"/>
        </w:rPr>
      </w:pPr>
    </w:p>
    <w:p w14:paraId="163858AE">
      <w:pPr>
        <w:pStyle w:val="24"/>
        <w:spacing w:line="360" w:lineRule="auto"/>
        <w:rPr>
          <w:rFonts w:hint="eastAsia" w:ascii="宋体" w:hAnsi="宋体" w:eastAsia="宋体" w:cs="宋体"/>
          <w:color w:val="auto"/>
          <w:sz w:val="28"/>
          <w:szCs w:val="28"/>
          <w:highlight w:val="none"/>
        </w:rPr>
      </w:pPr>
    </w:p>
    <w:p w14:paraId="26E038E1">
      <w:pPr>
        <w:pStyle w:val="24"/>
        <w:spacing w:line="360" w:lineRule="auto"/>
        <w:rPr>
          <w:rFonts w:hint="eastAsia" w:ascii="宋体" w:hAnsi="宋体" w:eastAsia="宋体" w:cs="宋体"/>
          <w:color w:val="auto"/>
          <w:sz w:val="28"/>
          <w:szCs w:val="28"/>
          <w:highlight w:val="none"/>
        </w:rPr>
      </w:pPr>
    </w:p>
    <w:p w14:paraId="539ED743">
      <w:pPr>
        <w:pStyle w:val="24"/>
        <w:spacing w:line="360" w:lineRule="auto"/>
        <w:rPr>
          <w:rFonts w:hint="eastAsia" w:ascii="宋体" w:hAnsi="宋体" w:eastAsia="宋体" w:cs="宋体"/>
          <w:color w:val="auto"/>
          <w:sz w:val="28"/>
          <w:szCs w:val="28"/>
          <w:highlight w:val="none"/>
        </w:rPr>
      </w:pPr>
    </w:p>
    <w:p w14:paraId="70187852">
      <w:pPr>
        <w:pStyle w:val="24"/>
        <w:spacing w:line="360" w:lineRule="auto"/>
        <w:rPr>
          <w:rFonts w:hint="eastAsia" w:ascii="宋体" w:hAnsi="宋体" w:eastAsia="宋体" w:cs="宋体"/>
          <w:color w:val="auto"/>
          <w:sz w:val="28"/>
          <w:szCs w:val="28"/>
          <w:highlight w:val="none"/>
        </w:rPr>
      </w:pPr>
    </w:p>
    <w:p w14:paraId="45A410C8">
      <w:pPr>
        <w:pStyle w:val="24"/>
        <w:spacing w:line="360" w:lineRule="auto"/>
        <w:rPr>
          <w:rFonts w:hint="eastAsia" w:ascii="宋体" w:hAnsi="宋体" w:eastAsia="宋体" w:cs="宋体"/>
          <w:color w:val="auto"/>
          <w:sz w:val="28"/>
          <w:szCs w:val="28"/>
          <w:highlight w:val="none"/>
        </w:rPr>
      </w:pPr>
    </w:p>
    <w:p w14:paraId="1E6D7C0E">
      <w:pPr>
        <w:pStyle w:val="26"/>
        <w:outlineLvl w:val="1"/>
        <w:rPr>
          <w:rFonts w:hint="eastAsia" w:ascii="宋体" w:hAnsi="宋体" w:eastAsia="宋体" w:cs="宋体"/>
          <w:color w:val="auto"/>
          <w:highlight w:val="none"/>
          <w:lang w:val="en-US" w:eastAsia="zh-CN"/>
        </w:rPr>
      </w:pPr>
    </w:p>
    <w:p w14:paraId="16B59841">
      <w:pPr>
        <w:pStyle w:val="26"/>
        <w:outlineLvl w:val="1"/>
        <w:rPr>
          <w:rFonts w:hint="eastAsia" w:ascii="宋体" w:hAnsi="宋体" w:eastAsia="宋体" w:cs="宋体"/>
          <w:color w:val="auto"/>
          <w:highlight w:val="none"/>
          <w:lang w:val="en-US" w:eastAsia="zh-CN"/>
        </w:rPr>
      </w:pPr>
    </w:p>
    <w:p w14:paraId="4DC206A5">
      <w:pPr>
        <w:pStyle w:val="26"/>
        <w:outlineLvl w:val="1"/>
        <w:rPr>
          <w:rFonts w:hint="eastAsia" w:ascii="宋体" w:hAnsi="宋体" w:eastAsia="宋体" w:cs="宋体"/>
          <w:color w:val="auto"/>
          <w:highlight w:val="none"/>
          <w:lang w:val="en-US" w:eastAsia="zh-CN"/>
        </w:rPr>
      </w:pPr>
    </w:p>
    <w:p w14:paraId="049452FF">
      <w:pPr>
        <w:pStyle w:val="26"/>
        <w:jc w:val="center"/>
        <w:outlineLvl w:val="1"/>
        <w:rPr>
          <w:rFonts w:hint="eastAsia" w:ascii="宋体" w:hAnsi="宋体" w:eastAsia="宋体" w:cs="宋体"/>
          <w:color w:val="auto"/>
          <w:highlight w:val="none"/>
          <w:lang w:val="en-US" w:eastAsia="zh-CN"/>
        </w:rPr>
      </w:pPr>
    </w:p>
    <w:p w14:paraId="5645889A">
      <w:pPr>
        <w:pStyle w:val="26"/>
        <w:jc w:val="center"/>
        <w:outlineLvl w:val="1"/>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一</w:t>
      </w:r>
      <w:r>
        <w:rPr>
          <w:rFonts w:hint="eastAsia" w:ascii="宋体" w:hAnsi="宋体" w:eastAsia="宋体" w:cs="宋体"/>
          <w:color w:val="auto"/>
          <w:highlight w:val="none"/>
        </w:rPr>
        <w:t>、投标函</w:t>
      </w:r>
    </w:p>
    <w:p w14:paraId="36258BB5">
      <w:pPr>
        <w:pStyle w:val="27"/>
        <w:spacing w:line="360" w:lineRule="auto"/>
        <w:jc w:val="center"/>
        <w:rPr>
          <w:rFonts w:hint="eastAsia" w:ascii="宋体" w:hAnsi="宋体" w:eastAsia="宋体" w:cs="宋体"/>
          <w:b/>
          <w:color w:val="auto"/>
          <w:sz w:val="30"/>
          <w:szCs w:val="24"/>
          <w:highlight w:val="none"/>
        </w:rPr>
      </w:pPr>
      <w:r>
        <w:rPr>
          <w:rFonts w:hint="eastAsia" w:ascii="宋体" w:hAnsi="宋体" w:eastAsia="宋体" w:cs="宋体"/>
          <w:b/>
          <w:color w:val="auto"/>
          <w:sz w:val="30"/>
          <w:szCs w:val="24"/>
          <w:highlight w:val="none"/>
        </w:rPr>
        <w:t>投标函</w:t>
      </w:r>
    </w:p>
    <w:p w14:paraId="63EA6DED">
      <w:pPr>
        <w:pStyle w:val="27"/>
        <w:keepNext w:val="0"/>
        <w:keepLines w:val="0"/>
        <w:pageBreakBefore w:val="0"/>
        <w:widowControl w:val="0"/>
        <w:kinsoku/>
        <w:wordWrap w:val="0"/>
        <w:overflowPunct/>
        <w:topLinePunct w:val="0"/>
        <w:autoSpaceDE/>
        <w:autoSpaceDN/>
        <w:bidi w:val="0"/>
        <w:adjustRightInd w:val="0"/>
        <w:snapToGrid w:val="0"/>
        <w:spacing w:line="440" w:lineRule="atLeas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29412857">
      <w:pPr>
        <w:pStyle w:val="29"/>
        <w:keepNext w:val="0"/>
        <w:keepLines w:val="0"/>
        <w:pageBreakBefore w:val="0"/>
        <w:widowControl w:val="0"/>
        <w:kinsoku/>
        <w:wordWrap w:val="0"/>
        <w:overflowPunct/>
        <w:topLinePunct w:val="0"/>
        <w:autoSpaceDE/>
        <w:autoSpaceDN/>
        <w:bidi w:val="0"/>
        <w:adjustRightInd w:val="0"/>
        <w:snapToGrid w:val="0"/>
        <w:spacing w:line="440" w:lineRule="atLeas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1．我方已仔细研究并完全接受</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（招标项目名称）项目招标文件的全部内容，愿意以</w:t>
      </w:r>
      <w:r>
        <w:rPr>
          <w:rFonts w:hint="eastAsia" w:ascii="宋体" w:hAnsi="宋体" w:eastAsia="宋体" w:cs="宋体"/>
          <w:b/>
          <w:bCs/>
          <w:color w:val="auto"/>
          <w:szCs w:val="21"/>
          <w:highlight w:val="none"/>
        </w:rPr>
        <w:t xml:space="preserve">人民币（大写） </w:t>
      </w:r>
      <w:r>
        <w:rPr>
          <w:rFonts w:hint="eastAsia" w:ascii="宋体" w:hAnsi="宋体" w:eastAsia="宋体" w:cs="宋体"/>
          <w:b/>
          <w:bCs/>
          <w:color w:val="auto"/>
          <w:szCs w:val="21"/>
          <w:highlight w:val="none"/>
          <w:u w:val="single"/>
        </w:rPr>
        <w:t xml:space="preserve">                    </w:t>
      </w:r>
      <w:r>
        <w:rPr>
          <w:rFonts w:hint="eastAsia" w:ascii="宋体" w:hAnsi="宋体" w:eastAsia="宋体" w:cs="宋体"/>
          <w:b/>
          <w:bCs/>
          <w:color w:val="auto"/>
          <w:szCs w:val="21"/>
          <w:highlight w:val="none"/>
        </w:rPr>
        <w:t>（¥</w:t>
      </w:r>
      <w:r>
        <w:rPr>
          <w:rFonts w:hint="eastAsia" w:ascii="宋体" w:hAnsi="宋体" w:eastAsia="宋体" w:cs="宋体"/>
          <w:b/>
          <w:bCs/>
          <w:color w:val="auto"/>
          <w:szCs w:val="21"/>
          <w:highlight w:val="none"/>
          <w:u w:val="single"/>
        </w:rPr>
        <w:t xml:space="preserve">        </w:t>
      </w:r>
      <w:r>
        <w:rPr>
          <w:rFonts w:hint="eastAsia" w:ascii="宋体" w:hAnsi="宋体" w:eastAsia="宋体" w:cs="宋体"/>
          <w:b/>
          <w:bCs/>
          <w:color w:val="auto"/>
          <w:szCs w:val="21"/>
          <w:highlight w:val="none"/>
        </w:rPr>
        <w:t>元）</w:t>
      </w:r>
      <w:r>
        <w:rPr>
          <w:rFonts w:hint="eastAsia" w:ascii="宋体" w:hAnsi="宋体" w:eastAsia="宋体" w:cs="宋体"/>
          <w:color w:val="auto"/>
          <w:szCs w:val="21"/>
          <w:highlight w:val="none"/>
        </w:rPr>
        <w:t>的投标总报价，在</w:t>
      </w:r>
      <w:r>
        <w:rPr>
          <w:rFonts w:hint="eastAsia" w:ascii="宋体" w:hAnsi="宋体" w:eastAsia="宋体" w:cs="宋体"/>
          <w:b/>
          <w:color w:val="auto"/>
          <w:kern w:val="0"/>
          <w:sz w:val="21"/>
          <w:szCs w:val="21"/>
          <w:highlight w:val="none"/>
          <w:u w:val="single"/>
        </w:rPr>
        <w:t xml:space="preserve"> </w:t>
      </w:r>
      <w:r>
        <w:rPr>
          <w:rFonts w:hint="eastAsia" w:ascii="宋体" w:hAnsi="宋体" w:eastAsia="宋体" w:cs="宋体"/>
          <w:b/>
          <w:color w:val="auto"/>
          <w:kern w:val="0"/>
          <w:sz w:val="21"/>
          <w:szCs w:val="21"/>
          <w:highlight w:val="none"/>
          <w:u w:val="single"/>
          <w:lang w:val="en-US" w:eastAsia="zh-CN"/>
        </w:rPr>
        <w:t>壹年</w:t>
      </w:r>
      <w:r>
        <w:rPr>
          <w:rFonts w:hint="eastAsia" w:ascii="宋体" w:hAnsi="宋体" w:eastAsia="宋体" w:cs="宋体"/>
          <w:b/>
          <w:color w:val="auto"/>
          <w:kern w:val="0"/>
          <w:sz w:val="21"/>
          <w:szCs w:val="21"/>
          <w:highlight w:val="none"/>
          <w:u w:val="single"/>
        </w:rPr>
        <w:t>服务期</w:t>
      </w:r>
      <w:r>
        <w:rPr>
          <w:rFonts w:hint="eastAsia" w:ascii="宋体" w:hAnsi="宋体" w:eastAsia="宋体" w:cs="宋体"/>
          <w:color w:val="auto"/>
          <w:szCs w:val="21"/>
          <w:highlight w:val="none"/>
        </w:rPr>
        <w:t>内按招标文件的规定履行合同责任和义务，实现项目目的。</w:t>
      </w:r>
    </w:p>
    <w:p w14:paraId="206C3B8D">
      <w:pPr>
        <w:pStyle w:val="17"/>
        <w:keepNext w:val="0"/>
        <w:keepLines w:val="0"/>
        <w:pageBreakBefore w:val="0"/>
        <w:widowControl w:val="0"/>
        <w:kinsoku/>
        <w:overflowPunct/>
        <w:topLinePunct w:val="0"/>
        <w:autoSpaceDE/>
        <w:autoSpaceDN/>
        <w:bidi w:val="0"/>
        <w:adjustRightInd w:val="0"/>
        <w:snapToGrid w:val="0"/>
        <w:spacing w:line="440" w:lineRule="atLeast"/>
        <w:ind w:firstLine="420"/>
        <w:textAlignment w:val="auto"/>
        <w:rPr>
          <w:rFonts w:hint="eastAsia" w:ascii="宋体" w:eastAsia="宋体"/>
          <w:color w:val="auto"/>
          <w:sz w:val="21"/>
          <w:szCs w:val="21"/>
          <w:highlight w:val="none"/>
          <w:lang w:eastAsia="zh-CN"/>
        </w:rPr>
      </w:pPr>
      <w:r>
        <w:rPr>
          <w:rFonts w:hint="eastAsia" w:ascii="宋体" w:eastAsia="宋体"/>
          <w:color w:val="auto"/>
          <w:sz w:val="21"/>
          <w:szCs w:val="21"/>
          <w:highlight w:val="none"/>
          <w:lang w:eastAsia="zh-CN"/>
        </w:rPr>
        <w:t>2、如果我方中标，将派出</w:t>
      </w:r>
      <w:r>
        <w:rPr>
          <w:rFonts w:hint="eastAsia" w:ascii="宋体" w:eastAsia="宋体"/>
          <w:b/>
          <w:color w:val="auto"/>
          <w:sz w:val="21"/>
          <w:szCs w:val="21"/>
          <w:highlight w:val="none"/>
          <w:lang w:eastAsia="zh-CN"/>
        </w:rPr>
        <w:t xml:space="preserve"> </w:t>
      </w:r>
      <w:r>
        <w:rPr>
          <w:rFonts w:hint="eastAsia" w:ascii="宋体" w:eastAsia="宋体"/>
          <w:b/>
          <w:color w:val="auto"/>
          <w:sz w:val="21"/>
          <w:szCs w:val="21"/>
          <w:highlight w:val="none"/>
          <w:u w:val="single"/>
          <w:lang w:eastAsia="zh-CN"/>
        </w:rPr>
        <w:t xml:space="preserve">         </w:t>
      </w:r>
      <w:r>
        <w:rPr>
          <w:rFonts w:hint="eastAsia" w:ascii="宋体" w:eastAsia="宋体"/>
          <w:b/>
          <w:color w:val="auto"/>
          <w:sz w:val="21"/>
          <w:szCs w:val="21"/>
          <w:highlight w:val="none"/>
          <w:lang w:eastAsia="zh-CN"/>
        </w:rPr>
        <w:t>（姓名）</w:t>
      </w:r>
      <w:r>
        <w:rPr>
          <w:rFonts w:hint="eastAsia" w:ascii="宋体" w:eastAsia="宋体"/>
          <w:color w:val="auto"/>
          <w:sz w:val="21"/>
          <w:szCs w:val="21"/>
          <w:highlight w:val="none"/>
          <w:lang w:eastAsia="zh-CN"/>
        </w:rPr>
        <w:t>作为本项目的项目负责人。同时承诺如果中标，项目负责人及所有项目组成员保证及时</w:t>
      </w:r>
      <w:r>
        <w:rPr>
          <w:rFonts w:hint="eastAsia" w:ascii="宋体" w:eastAsia="宋体"/>
          <w:color w:val="auto"/>
          <w:sz w:val="21"/>
          <w:szCs w:val="21"/>
          <w:highlight w:val="none"/>
          <w:lang w:val="en-US" w:eastAsia="zh-CN"/>
        </w:rPr>
        <w:t>配备且</w:t>
      </w:r>
      <w:r>
        <w:rPr>
          <w:rFonts w:hint="eastAsia" w:ascii="宋体" w:eastAsia="宋体"/>
          <w:color w:val="auto"/>
          <w:sz w:val="21"/>
          <w:szCs w:val="21"/>
          <w:highlight w:val="none"/>
          <w:lang w:eastAsia="zh-CN"/>
        </w:rPr>
        <w:t>服务到位，按招标人的要求提供服务，并按招标人要求处理服务过程中出现的技术问题，以确保服务进度和质量要求。</w:t>
      </w:r>
    </w:p>
    <w:p w14:paraId="44470488">
      <w:pPr>
        <w:pStyle w:val="17"/>
        <w:keepNext w:val="0"/>
        <w:keepLines w:val="0"/>
        <w:pageBreakBefore w:val="0"/>
        <w:widowControl w:val="0"/>
        <w:kinsoku/>
        <w:overflowPunct/>
        <w:topLinePunct w:val="0"/>
        <w:autoSpaceDE/>
        <w:autoSpaceDN/>
        <w:bidi w:val="0"/>
        <w:adjustRightInd w:val="0"/>
        <w:snapToGrid w:val="0"/>
        <w:spacing w:line="440" w:lineRule="atLeast"/>
        <w:ind w:firstLine="420"/>
        <w:textAlignment w:val="auto"/>
        <w:rPr>
          <w:rFonts w:hint="eastAsia" w:ascii="宋体" w:eastAsia="宋体"/>
          <w:color w:val="auto"/>
          <w:sz w:val="21"/>
          <w:szCs w:val="21"/>
          <w:highlight w:val="none"/>
          <w:lang w:eastAsia="zh-CN"/>
        </w:rPr>
      </w:pPr>
      <w:r>
        <w:rPr>
          <w:rFonts w:hint="eastAsia" w:ascii="宋体" w:eastAsia="宋体"/>
          <w:color w:val="auto"/>
          <w:sz w:val="21"/>
          <w:szCs w:val="21"/>
          <w:highlight w:val="none"/>
          <w:lang w:val="en-US" w:eastAsia="zh-CN"/>
        </w:rPr>
        <w:t>3</w:t>
      </w:r>
      <w:r>
        <w:rPr>
          <w:rFonts w:hint="eastAsia" w:ascii="宋体" w:eastAsia="宋体"/>
          <w:color w:val="auto"/>
          <w:sz w:val="21"/>
          <w:szCs w:val="21"/>
          <w:highlight w:val="none"/>
          <w:lang w:eastAsia="zh-CN"/>
        </w:rPr>
        <w:t>．我方保证本项目（含所有设备、材料和安装等）质量等级达到国家合格标准，均为原厂全新合格产品,符合招标文件需求、达到国家现行的规范标准及有关部门颁布的最新标准，确保项目通过有关部门和招标人的验收。</w:t>
      </w:r>
    </w:p>
    <w:p w14:paraId="33B9F673">
      <w:pPr>
        <w:keepNext w:val="0"/>
        <w:keepLines w:val="0"/>
        <w:pageBreakBefore w:val="0"/>
        <w:widowControl w:val="0"/>
        <w:kinsoku/>
        <w:overflowPunct/>
        <w:topLinePunct w:val="0"/>
        <w:autoSpaceDE/>
        <w:autoSpaceDN/>
        <w:bidi w:val="0"/>
        <w:adjustRightInd w:val="0"/>
        <w:snapToGrid w:val="0"/>
        <w:spacing w:line="440" w:lineRule="atLeas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．我方承诺在招标文件规定的投标有效期内不修改、撤销投标文件。</w:t>
      </w:r>
    </w:p>
    <w:p w14:paraId="1A3A7B4E">
      <w:pPr>
        <w:keepNext w:val="0"/>
        <w:keepLines w:val="0"/>
        <w:pageBreakBefore w:val="0"/>
        <w:widowControl w:val="0"/>
        <w:kinsoku/>
        <w:overflowPunct/>
        <w:topLinePunct w:val="0"/>
        <w:autoSpaceDE/>
        <w:autoSpaceDN/>
        <w:bidi w:val="0"/>
        <w:adjustRightInd w:val="0"/>
        <w:snapToGrid w:val="0"/>
        <w:spacing w:line="440" w:lineRule="atLeast"/>
        <w:ind w:firstLine="420" w:firstLineChars="200"/>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lang w:val="en-US" w:eastAsia="zh-CN"/>
        </w:rPr>
        <w:t>5</w:t>
      </w:r>
      <w:r>
        <w:rPr>
          <w:rFonts w:hint="eastAsia" w:ascii="宋体" w:hAnsi="宋体" w:eastAsia="宋体" w:cs="宋体"/>
          <w:bCs/>
          <w:color w:val="auto"/>
          <w:sz w:val="21"/>
          <w:szCs w:val="21"/>
          <w:highlight w:val="none"/>
        </w:rPr>
        <w:t>．我方保证我公司具有独立订立合同的能力，未处于财产被接管、冻结和破产状态。</w:t>
      </w:r>
    </w:p>
    <w:p w14:paraId="3CC4FD9D">
      <w:pPr>
        <w:keepNext w:val="0"/>
        <w:keepLines w:val="0"/>
        <w:pageBreakBefore w:val="0"/>
        <w:widowControl w:val="0"/>
        <w:kinsoku/>
        <w:overflowPunct/>
        <w:topLinePunct w:val="0"/>
        <w:autoSpaceDE/>
        <w:autoSpaceDN/>
        <w:bidi w:val="0"/>
        <w:adjustRightInd w:val="0"/>
        <w:snapToGrid w:val="0"/>
        <w:spacing w:line="440" w:lineRule="atLeast"/>
        <w:ind w:firstLine="420" w:firstLineChars="200"/>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我方保证在本次投标中无串通投标、弄虚作假等违法行为，否则承担因串通投标和弄虚作假所引起的一切法律责任。</w:t>
      </w:r>
    </w:p>
    <w:p w14:paraId="16805A2F">
      <w:pPr>
        <w:keepNext w:val="0"/>
        <w:keepLines w:val="0"/>
        <w:pageBreakBefore w:val="0"/>
        <w:widowControl w:val="0"/>
        <w:kinsoku/>
        <w:overflowPunct/>
        <w:topLinePunct w:val="0"/>
        <w:autoSpaceDE/>
        <w:autoSpaceDN/>
        <w:bidi w:val="0"/>
        <w:adjustRightInd w:val="0"/>
        <w:snapToGrid w:val="0"/>
        <w:spacing w:line="440" w:lineRule="atLeast"/>
        <w:ind w:firstLine="420" w:firstLineChars="200"/>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lang w:val="en-US" w:eastAsia="zh-CN"/>
        </w:rPr>
        <w:t>6</w:t>
      </w:r>
      <w:r>
        <w:rPr>
          <w:rFonts w:hint="eastAsia" w:ascii="宋体" w:hAnsi="宋体" w:eastAsia="宋体" w:cs="宋体"/>
          <w:bCs/>
          <w:color w:val="auto"/>
          <w:sz w:val="21"/>
          <w:szCs w:val="21"/>
          <w:highlight w:val="none"/>
        </w:rPr>
        <w:t>．如我方中标：</w:t>
      </w:r>
    </w:p>
    <w:p w14:paraId="116D2523">
      <w:pPr>
        <w:keepNext w:val="0"/>
        <w:keepLines w:val="0"/>
        <w:pageBreakBefore w:val="0"/>
        <w:widowControl w:val="0"/>
        <w:kinsoku/>
        <w:overflowPunct/>
        <w:topLinePunct w:val="0"/>
        <w:autoSpaceDE/>
        <w:autoSpaceDN/>
        <w:bidi w:val="0"/>
        <w:adjustRightInd w:val="0"/>
        <w:snapToGrid w:val="0"/>
        <w:spacing w:line="440" w:lineRule="atLeas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（1）我方承诺在收到中标通知书后，在中标通知书规定的期限内与你方签订合同。</w:t>
      </w:r>
    </w:p>
    <w:p w14:paraId="41B35B8C">
      <w:pPr>
        <w:keepNext w:val="0"/>
        <w:keepLines w:val="0"/>
        <w:pageBreakBefore w:val="0"/>
        <w:widowControl w:val="0"/>
        <w:kinsoku/>
        <w:overflowPunct/>
        <w:topLinePunct w:val="0"/>
        <w:autoSpaceDE/>
        <w:autoSpaceDN/>
        <w:bidi w:val="0"/>
        <w:adjustRightInd w:val="0"/>
        <w:snapToGrid w:val="0"/>
        <w:spacing w:line="440" w:lineRule="atLeas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（2）我方承诺按照招标文件规定向你方递交履约保证金。</w:t>
      </w:r>
    </w:p>
    <w:p w14:paraId="151BE226">
      <w:pPr>
        <w:keepNext w:val="0"/>
        <w:keepLines w:val="0"/>
        <w:pageBreakBefore w:val="0"/>
        <w:widowControl w:val="0"/>
        <w:kinsoku/>
        <w:overflowPunct/>
        <w:topLinePunct w:val="0"/>
        <w:autoSpaceDE/>
        <w:autoSpaceDN/>
        <w:bidi w:val="0"/>
        <w:adjustRightInd w:val="0"/>
        <w:snapToGrid w:val="0"/>
        <w:spacing w:line="440" w:lineRule="atLeas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（3）我方将严格履行本投标文件中的全部承诺和责任，并遵守招标文件中对投标人的所有规定。</w:t>
      </w:r>
    </w:p>
    <w:p w14:paraId="6A8CC7A0">
      <w:pPr>
        <w:keepNext w:val="0"/>
        <w:keepLines w:val="0"/>
        <w:pageBreakBefore w:val="0"/>
        <w:widowControl w:val="0"/>
        <w:kinsoku/>
        <w:overflowPunct/>
        <w:topLinePunct w:val="0"/>
        <w:autoSpaceDE/>
        <w:autoSpaceDN/>
        <w:bidi w:val="0"/>
        <w:adjustRightInd w:val="0"/>
        <w:snapToGrid w:val="0"/>
        <w:spacing w:line="440" w:lineRule="atLeas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7</w:t>
      </w:r>
      <w:r>
        <w:rPr>
          <w:rFonts w:hint="eastAsia" w:ascii="宋体" w:hAnsi="宋体" w:eastAsia="宋体" w:cs="宋体"/>
          <w:color w:val="auto"/>
          <w:sz w:val="21"/>
          <w:szCs w:val="21"/>
          <w:highlight w:val="none"/>
        </w:rPr>
        <w:t>．我方在此声明，所递交的投标文件及有关资料内容完整、真实和准确，且不存在第二章“投标人须知”第1.4.3项规定的任何一种情形。</w:t>
      </w:r>
    </w:p>
    <w:p w14:paraId="44A6D190">
      <w:pPr>
        <w:keepNext w:val="0"/>
        <w:keepLines w:val="0"/>
        <w:pageBreakBefore w:val="0"/>
        <w:widowControl w:val="0"/>
        <w:kinsoku/>
        <w:overflowPunct/>
        <w:topLinePunct w:val="0"/>
        <w:autoSpaceDE/>
        <w:autoSpaceDN/>
        <w:bidi w:val="0"/>
        <w:adjustRightInd w:val="0"/>
        <w:snapToGrid w:val="0"/>
        <w:spacing w:line="440" w:lineRule="atLeas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8</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（按招标文件要求作出的其他承诺或其他补充说明）。</w:t>
      </w:r>
    </w:p>
    <w:p w14:paraId="069E1989">
      <w:pPr>
        <w:pStyle w:val="30"/>
        <w:spacing w:line="360" w:lineRule="auto"/>
        <w:ind w:firstLine="420" w:firstLineChars="200"/>
        <w:rPr>
          <w:rFonts w:hint="eastAsia" w:ascii="宋体" w:hAnsi="宋体" w:eastAsia="宋体" w:cs="宋体"/>
          <w:color w:val="auto"/>
          <w:kern w:val="0"/>
          <w:szCs w:val="21"/>
          <w:highlight w:val="none"/>
        </w:rPr>
      </w:pPr>
    </w:p>
    <w:p w14:paraId="610FCDC1">
      <w:pPr>
        <w:pStyle w:val="30"/>
        <w:spacing w:line="360" w:lineRule="auto"/>
        <w:ind w:firstLine="420" w:firstLineChars="200"/>
        <w:rPr>
          <w:rFonts w:hint="eastAsia" w:ascii="宋体" w:hAnsi="宋体" w:eastAsia="宋体" w:cs="宋体"/>
          <w:color w:val="auto"/>
          <w:kern w:val="0"/>
          <w:szCs w:val="21"/>
          <w:highlight w:val="none"/>
        </w:rPr>
      </w:pPr>
    </w:p>
    <w:p w14:paraId="2090A45A">
      <w:pPr>
        <w:pStyle w:val="30"/>
        <w:spacing w:line="360" w:lineRule="auto"/>
        <w:ind w:firstLine="3990" w:firstLineChars="19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投标人(公章)：</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 </w:t>
      </w:r>
    </w:p>
    <w:p w14:paraId="4AD1B27E">
      <w:pPr>
        <w:pStyle w:val="30"/>
        <w:spacing w:line="360" w:lineRule="auto"/>
        <w:ind w:firstLine="3990" w:firstLineChars="190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法定代表人（签字或</w:t>
      </w:r>
      <w:r>
        <w:rPr>
          <w:rFonts w:hint="eastAsia" w:ascii="宋体" w:hAnsi="宋体" w:eastAsia="宋体" w:cs="宋体"/>
          <w:color w:val="auto"/>
          <w:kern w:val="0"/>
          <w:szCs w:val="21"/>
          <w:highlight w:val="none"/>
        </w:rPr>
        <w:t>盖</w:t>
      </w:r>
      <w:r>
        <w:rPr>
          <w:rFonts w:hint="eastAsia" w:ascii="宋体" w:hAnsi="宋体" w:eastAsia="宋体" w:cs="宋体"/>
          <w:color w:val="auto"/>
          <w:szCs w:val="21"/>
          <w:highlight w:val="none"/>
        </w:rPr>
        <w:t>章）：</w:t>
      </w:r>
      <w:r>
        <w:rPr>
          <w:rFonts w:hint="eastAsia" w:ascii="宋体" w:hAnsi="宋体" w:eastAsia="宋体" w:cs="宋体"/>
          <w:color w:val="auto"/>
          <w:szCs w:val="21"/>
          <w:highlight w:val="none"/>
          <w:u w:val="single"/>
        </w:rPr>
        <w:t xml:space="preserve">               </w:t>
      </w:r>
    </w:p>
    <w:p w14:paraId="579C1166">
      <w:pPr>
        <w:pStyle w:val="30"/>
        <w:spacing w:line="360" w:lineRule="auto"/>
        <w:ind w:firstLine="3990" w:firstLineChars="190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日 期： </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年</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月</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日</w:t>
      </w:r>
    </w:p>
    <w:p w14:paraId="72F10543">
      <w:pPr>
        <w:pStyle w:val="30"/>
        <w:spacing w:line="360" w:lineRule="auto"/>
        <w:ind w:firstLine="480" w:firstLineChars="200"/>
        <w:rPr>
          <w:rFonts w:hint="eastAsia" w:ascii="宋体" w:hAnsi="宋体" w:eastAsia="宋体" w:cs="宋体"/>
          <w:color w:val="auto"/>
          <w:sz w:val="24"/>
          <w:highlight w:val="none"/>
        </w:rPr>
      </w:pPr>
    </w:p>
    <w:p w14:paraId="688F27A4">
      <w:pPr>
        <w:pStyle w:val="30"/>
        <w:spacing w:line="360" w:lineRule="auto"/>
        <w:rPr>
          <w:rFonts w:hint="eastAsia" w:ascii="宋体" w:hAnsi="宋体" w:eastAsia="宋体" w:cs="宋体"/>
          <w:color w:val="auto"/>
          <w:sz w:val="24"/>
          <w:highlight w:val="none"/>
        </w:rPr>
      </w:pPr>
    </w:p>
    <w:p w14:paraId="708E77F9">
      <w:pPr>
        <w:rPr>
          <w:rFonts w:hint="eastAsia" w:ascii="宋体" w:hAnsi="宋体" w:eastAsia="宋体" w:cs="宋体"/>
          <w:color w:val="auto"/>
          <w:highlight w:val="none"/>
          <w:lang w:val="en-US" w:eastAsia="zh-CN"/>
        </w:rPr>
      </w:pPr>
    </w:p>
    <w:p w14:paraId="00EAB665">
      <w:pPr>
        <w:pStyle w:val="31"/>
        <w:jc w:val="center"/>
        <w:outlineLvl w:val="1"/>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二</w:t>
      </w:r>
      <w:r>
        <w:rPr>
          <w:rFonts w:hint="eastAsia" w:ascii="宋体" w:hAnsi="宋体" w:eastAsia="宋体" w:cs="宋体"/>
          <w:color w:val="auto"/>
          <w:highlight w:val="none"/>
        </w:rPr>
        <w:t>、法定代表人身份证明</w:t>
      </w:r>
    </w:p>
    <w:p w14:paraId="314D6D6C">
      <w:pPr>
        <w:pStyle w:val="32"/>
        <w:autoSpaceDE w:val="0"/>
        <w:autoSpaceDN w:val="0"/>
        <w:adjustRightInd w:val="0"/>
        <w:spacing w:line="360" w:lineRule="auto"/>
        <w:jc w:val="center"/>
        <w:rPr>
          <w:rFonts w:hint="eastAsia" w:ascii="宋体" w:hAnsi="宋体" w:eastAsia="宋体" w:cs="宋体"/>
          <w:b/>
          <w:color w:val="auto"/>
          <w:sz w:val="30"/>
          <w:highlight w:val="none"/>
        </w:rPr>
      </w:pPr>
    </w:p>
    <w:p w14:paraId="7627E207">
      <w:pPr>
        <w:pStyle w:val="32"/>
        <w:autoSpaceDE w:val="0"/>
        <w:autoSpaceDN w:val="0"/>
        <w:adjustRightInd w:val="0"/>
        <w:spacing w:line="360" w:lineRule="auto"/>
        <w:jc w:val="center"/>
        <w:rPr>
          <w:rFonts w:hint="eastAsia" w:ascii="宋体" w:hAnsi="宋体" w:eastAsia="宋体" w:cs="宋体"/>
          <w:b/>
          <w:color w:val="auto"/>
          <w:sz w:val="30"/>
          <w:highlight w:val="none"/>
        </w:rPr>
      </w:pPr>
      <w:r>
        <w:rPr>
          <w:rFonts w:hint="eastAsia" w:ascii="宋体" w:hAnsi="宋体" w:eastAsia="宋体" w:cs="宋体"/>
          <w:b/>
          <w:color w:val="auto"/>
          <w:sz w:val="30"/>
          <w:highlight w:val="none"/>
        </w:rPr>
        <w:t>法定代表人身份证明</w:t>
      </w:r>
    </w:p>
    <w:p w14:paraId="71CECC71">
      <w:pPr>
        <w:pStyle w:val="32"/>
        <w:autoSpaceDE w:val="0"/>
        <w:autoSpaceDN w:val="0"/>
        <w:adjustRightInd w:val="0"/>
        <w:spacing w:line="360" w:lineRule="auto"/>
        <w:ind w:firstLine="480" w:firstLineChars="200"/>
        <w:rPr>
          <w:rFonts w:hint="eastAsia" w:ascii="宋体" w:hAnsi="宋体" w:eastAsia="宋体" w:cs="宋体"/>
          <w:color w:val="auto"/>
          <w:highlight w:val="none"/>
        </w:rPr>
      </w:pPr>
    </w:p>
    <w:p w14:paraId="1F26C62D">
      <w:pPr>
        <w:pStyle w:val="32"/>
        <w:autoSpaceDE w:val="0"/>
        <w:autoSpaceDN w:val="0"/>
        <w:adjustRightInd w:val="0"/>
        <w:spacing w:line="360" w:lineRule="auto"/>
        <w:ind w:firstLine="420" w:firstLineChars="200"/>
        <w:rPr>
          <w:rFonts w:hint="eastAsia" w:ascii="宋体" w:hAnsi="宋体" w:eastAsia="宋体" w:cs="宋体"/>
          <w:strike w:val="0"/>
          <w:dstrike w:val="0"/>
          <w:color w:val="auto"/>
          <w:sz w:val="21"/>
          <w:szCs w:val="21"/>
          <w:highlight w:val="none"/>
          <w:u w:val="single"/>
          <w:lang w:val="en-US" w:eastAsia="zh-CN"/>
        </w:rPr>
      </w:pPr>
      <w:r>
        <w:rPr>
          <w:rFonts w:hint="eastAsia" w:ascii="宋体" w:hAnsi="宋体" w:eastAsia="宋体" w:cs="宋体"/>
          <w:color w:val="auto"/>
          <w:sz w:val="21"/>
          <w:szCs w:val="21"/>
          <w:highlight w:val="none"/>
        </w:rPr>
        <w:t>投 标 人：</w:t>
      </w:r>
      <w:r>
        <w:rPr>
          <w:rFonts w:hint="eastAsia" w:ascii="宋体" w:hAnsi="宋体" w:eastAsia="宋体" w:cs="宋体"/>
          <w:color w:val="auto"/>
          <w:highlight w:val="none"/>
          <w:u w:val="single"/>
          <w:lang w:val="en-US" w:eastAsia="zh-CN"/>
        </w:rPr>
        <w:t xml:space="preserve">                  </w:t>
      </w:r>
      <w:r>
        <w:rPr>
          <w:rFonts w:hint="eastAsia" w:ascii="宋体" w:hAnsi="宋体" w:eastAsia="宋体" w:cs="宋体"/>
          <w:color w:val="auto"/>
          <w:highlight w:val="none"/>
          <w:u w:val="none"/>
          <w:lang w:val="en-US" w:eastAsia="zh-CN"/>
        </w:rPr>
        <w:t xml:space="preserve">  </w:t>
      </w:r>
    </w:p>
    <w:p w14:paraId="03E301F0">
      <w:pPr>
        <w:pStyle w:val="32"/>
        <w:autoSpaceDE w:val="0"/>
        <w:autoSpaceDN w:val="0"/>
        <w:adjustRightIn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单位性质：</w:t>
      </w:r>
      <w:r>
        <w:rPr>
          <w:rFonts w:hint="eastAsia" w:ascii="宋体" w:hAnsi="宋体" w:eastAsia="宋体" w:cs="宋体"/>
          <w:color w:val="auto"/>
          <w:highlight w:val="none"/>
          <w:u w:val="single"/>
          <w:lang w:val="en-US" w:eastAsia="zh-CN"/>
        </w:rPr>
        <w:t xml:space="preserve">                  </w:t>
      </w:r>
      <w:r>
        <w:rPr>
          <w:rFonts w:hint="eastAsia" w:ascii="宋体" w:hAnsi="宋体" w:eastAsia="宋体" w:cs="宋体"/>
          <w:color w:val="auto"/>
          <w:highlight w:val="none"/>
          <w:u w:val="none"/>
          <w:lang w:val="en-US" w:eastAsia="zh-CN"/>
        </w:rPr>
        <w:t xml:space="preserve">  </w:t>
      </w:r>
    </w:p>
    <w:p w14:paraId="5FB1AA42">
      <w:pPr>
        <w:pStyle w:val="32"/>
        <w:autoSpaceDE w:val="0"/>
        <w:autoSpaceDN w:val="0"/>
        <w:adjustRightInd w:val="0"/>
        <w:spacing w:line="360" w:lineRule="auto"/>
        <w:ind w:firstLine="420" w:firstLineChars="20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地    址：</w:t>
      </w:r>
      <w:r>
        <w:rPr>
          <w:rFonts w:hint="eastAsia" w:ascii="宋体" w:hAnsi="宋体" w:eastAsia="宋体" w:cs="宋体"/>
          <w:color w:val="auto"/>
          <w:highlight w:val="none"/>
          <w:u w:val="single"/>
          <w:lang w:val="en-US" w:eastAsia="zh-CN"/>
        </w:rPr>
        <w:t xml:space="preserve">                  </w:t>
      </w:r>
      <w:r>
        <w:rPr>
          <w:rFonts w:hint="eastAsia" w:ascii="宋体" w:hAnsi="宋体" w:eastAsia="宋体" w:cs="宋体"/>
          <w:color w:val="auto"/>
          <w:highlight w:val="none"/>
          <w:u w:val="none"/>
          <w:lang w:val="en-US" w:eastAsia="zh-CN"/>
        </w:rPr>
        <w:t xml:space="preserve">  </w:t>
      </w:r>
    </w:p>
    <w:p w14:paraId="0F912A45">
      <w:pPr>
        <w:pStyle w:val="32"/>
        <w:autoSpaceDE w:val="0"/>
        <w:autoSpaceDN w:val="0"/>
        <w:adjustRightIn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经营期限：</w:t>
      </w:r>
      <w:r>
        <w:rPr>
          <w:rFonts w:hint="eastAsia" w:ascii="宋体" w:hAnsi="宋体" w:eastAsia="宋体" w:cs="宋体"/>
          <w:color w:val="auto"/>
          <w:highlight w:val="none"/>
          <w:u w:val="single"/>
          <w:lang w:val="en-US" w:eastAsia="zh-CN"/>
        </w:rPr>
        <w:t xml:space="preserve">                  </w:t>
      </w:r>
      <w:r>
        <w:rPr>
          <w:rFonts w:hint="eastAsia" w:ascii="宋体" w:hAnsi="宋体" w:eastAsia="宋体" w:cs="宋体"/>
          <w:color w:val="auto"/>
          <w:highlight w:val="none"/>
          <w:u w:val="none"/>
          <w:lang w:val="en-US" w:eastAsia="zh-CN"/>
        </w:rPr>
        <w:t xml:space="preserve">  </w:t>
      </w:r>
    </w:p>
    <w:p w14:paraId="2D395B67">
      <w:pPr>
        <w:pStyle w:val="32"/>
        <w:autoSpaceDE w:val="0"/>
        <w:autoSpaceDN w:val="0"/>
        <w:adjustRightIn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姓    名：</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性        别：</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p>
    <w:p w14:paraId="6E1FB8D5">
      <w:pPr>
        <w:pStyle w:val="32"/>
        <w:autoSpaceDE w:val="0"/>
        <w:autoSpaceDN w:val="0"/>
        <w:adjustRightInd w:val="0"/>
        <w:spacing w:line="360" w:lineRule="auto"/>
        <w:ind w:firstLine="420" w:firstLineChars="20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年    龄：</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职        务：</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p>
    <w:p w14:paraId="7A98396C">
      <w:pPr>
        <w:pStyle w:val="32"/>
        <w:autoSpaceDE w:val="0"/>
        <w:autoSpaceDN w:val="0"/>
        <w:adjustRightInd w:val="0"/>
        <w:spacing w:line="360" w:lineRule="auto"/>
        <w:ind w:firstLine="420" w:firstLineChars="20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身份证号码</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u w:val="single"/>
        </w:rPr>
        <w:t xml:space="preserve">                                     </w:t>
      </w:r>
    </w:p>
    <w:p w14:paraId="01DC3411">
      <w:pPr>
        <w:pStyle w:val="32"/>
        <w:autoSpaceDE w:val="0"/>
        <w:autoSpaceDN w:val="0"/>
        <w:adjustRightIn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系</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（投标人名称）的法定代表人。</w:t>
      </w:r>
    </w:p>
    <w:p w14:paraId="6AC763E8">
      <w:pPr>
        <w:pStyle w:val="32"/>
        <w:autoSpaceDE w:val="0"/>
        <w:autoSpaceDN w:val="0"/>
        <w:adjustRightInd w:val="0"/>
        <w:spacing w:line="360" w:lineRule="auto"/>
        <w:ind w:firstLine="840" w:firstLineChars="4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特此证明。</w:t>
      </w:r>
    </w:p>
    <w:p w14:paraId="37C4DFEB">
      <w:pPr>
        <w:pStyle w:val="32"/>
        <w:autoSpaceDE w:val="0"/>
        <w:autoSpaceDN w:val="0"/>
        <w:adjustRightInd w:val="0"/>
        <w:spacing w:line="360" w:lineRule="auto"/>
        <w:ind w:firstLine="420" w:firstLineChars="200"/>
        <w:rPr>
          <w:rFonts w:hint="eastAsia" w:ascii="宋体" w:hAnsi="宋体" w:eastAsia="宋体" w:cs="宋体"/>
          <w:color w:val="auto"/>
          <w:sz w:val="21"/>
          <w:szCs w:val="21"/>
          <w:highlight w:val="none"/>
        </w:rPr>
      </w:pPr>
    </w:p>
    <w:p w14:paraId="441A89DB">
      <w:pPr>
        <w:pStyle w:val="33"/>
        <w:spacing w:line="360" w:lineRule="auto"/>
        <w:ind w:left="210"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附：</w:t>
      </w:r>
      <w:r>
        <w:rPr>
          <w:rFonts w:hint="eastAsia" w:ascii="宋体" w:hAnsi="宋体" w:eastAsia="宋体" w:cs="宋体"/>
          <w:color w:val="auto"/>
          <w:kern w:val="0"/>
          <w:szCs w:val="21"/>
          <w:highlight w:val="none"/>
        </w:rPr>
        <w:t>法定代表人身份证复印件</w:t>
      </w:r>
    </w:p>
    <w:p w14:paraId="797BF577">
      <w:pPr>
        <w:pStyle w:val="32"/>
        <w:autoSpaceDE w:val="0"/>
        <w:autoSpaceDN w:val="0"/>
        <w:adjustRightInd w:val="0"/>
        <w:spacing w:line="360" w:lineRule="auto"/>
        <w:ind w:firstLine="420" w:firstLineChars="200"/>
        <w:rPr>
          <w:rFonts w:hint="eastAsia" w:ascii="宋体" w:hAnsi="宋体" w:eastAsia="宋体" w:cs="宋体"/>
          <w:color w:val="auto"/>
          <w:sz w:val="21"/>
          <w:szCs w:val="21"/>
          <w:highlight w:val="none"/>
        </w:rPr>
      </w:pP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644"/>
        <w:gridCol w:w="4644"/>
      </w:tblGrid>
      <w:tr w14:paraId="10E293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235" w:hRule="atLeast"/>
        </w:trPr>
        <w:tc>
          <w:tcPr>
            <w:tcW w:w="4644" w:type="dxa"/>
            <w:vAlign w:val="center"/>
          </w:tcPr>
          <w:p w14:paraId="3DCB7991">
            <w:pPr>
              <w:pStyle w:val="32"/>
              <w:widowControl w:val="0"/>
              <w:autoSpaceDE w:val="0"/>
              <w:autoSpaceDN w:val="0"/>
              <w:adjustRightInd w:val="0"/>
              <w:spacing w:line="360" w:lineRule="auto"/>
              <w:jc w:val="center"/>
              <w:rPr>
                <w:rFonts w:hint="eastAsia" w:ascii="宋体" w:hAnsi="宋体" w:eastAsia="宋体" w:cs="宋体"/>
                <w:i/>
                <w:iCs/>
                <w:color w:val="auto"/>
                <w:sz w:val="21"/>
                <w:szCs w:val="21"/>
                <w:highlight w:val="none"/>
                <w:vertAlign w:val="baseline"/>
                <w:lang w:val="en-US" w:eastAsia="zh-CN"/>
              </w:rPr>
            </w:pPr>
            <w:r>
              <w:rPr>
                <w:rFonts w:hint="eastAsia" w:ascii="宋体" w:hAnsi="宋体" w:eastAsia="宋体" w:cs="宋体"/>
                <w:i/>
                <w:iCs/>
                <w:color w:val="auto"/>
                <w:sz w:val="21"/>
                <w:szCs w:val="21"/>
                <w:highlight w:val="none"/>
                <w:vertAlign w:val="baseline"/>
                <w:lang w:val="en-US" w:eastAsia="zh-CN"/>
              </w:rPr>
              <w:t>正面</w:t>
            </w:r>
          </w:p>
        </w:tc>
        <w:tc>
          <w:tcPr>
            <w:tcW w:w="4644" w:type="dxa"/>
            <w:vAlign w:val="center"/>
          </w:tcPr>
          <w:p w14:paraId="48544CA0">
            <w:pPr>
              <w:pStyle w:val="32"/>
              <w:widowControl w:val="0"/>
              <w:autoSpaceDE w:val="0"/>
              <w:autoSpaceDN w:val="0"/>
              <w:adjustRightInd w:val="0"/>
              <w:spacing w:line="360" w:lineRule="auto"/>
              <w:jc w:val="center"/>
              <w:rPr>
                <w:rFonts w:hint="eastAsia" w:ascii="宋体" w:hAnsi="宋体" w:eastAsia="宋体" w:cs="宋体"/>
                <w:i/>
                <w:iCs/>
                <w:color w:val="auto"/>
                <w:sz w:val="21"/>
                <w:szCs w:val="21"/>
                <w:highlight w:val="none"/>
                <w:vertAlign w:val="baseline"/>
                <w:lang w:val="en-US" w:eastAsia="zh-CN"/>
              </w:rPr>
            </w:pPr>
            <w:r>
              <w:rPr>
                <w:rFonts w:hint="eastAsia" w:ascii="宋体" w:hAnsi="宋体" w:eastAsia="宋体" w:cs="宋体"/>
                <w:i/>
                <w:iCs/>
                <w:color w:val="auto"/>
                <w:sz w:val="21"/>
                <w:szCs w:val="21"/>
                <w:highlight w:val="none"/>
                <w:vertAlign w:val="baseline"/>
                <w:lang w:val="en-US" w:eastAsia="zh-CN"/>
              </w:rPr>
              <w:t>反面</w:t>
            </w:r>
          </w:p>
        </w:tc>
      </w:tr>
    </w:tbl>
    <w:p w14:paraId="08F69745">
      <w:pPr>
        <w:pStyle w:val="32"/>
        <w:autoSpaceDE w:val="0"/>
        <w:autoSpaceDN w:val="0"/>
        <w:adjustRightInd w:val="0"/>
        <w:spacing w:line="360" w:lineRule="auto"/>
        <w:ind w:firstLine="420" w:firstLineChars="200"/>
        <w:rPr>
          <w:rFonts w:hint="eastAsia" w:ascii="宋体" w:hAnsi="宋体" w:eastAsia="宋体" w:cs="宋体"/>
          <w:color w:val="auto"/>
          <w:sz w:val="21"/>
          <w:szCs w:val="21"/>
          <w:highlight w:val="none"/>
        </w:rPr>
      </w:pPr>
    </w:p>
    <w:p w14:paraId="625F9302">
      <w:pPr>
        <w:pStyle w:val="32"/>
        <w:autoSpaceDE w:val="0"/>
        <w:autoSpaceDN w:val="0"/>
        <w:adjustRightInd w:val="0"/>
        <w:spacing w:line="360" w:lineRule="auto"/>
        <w:ind w:firstLine="420" w:firstLineChars="200"/>
        <w:rPr>
          <w:rFonts w:hint="eastAsia" w:ascii="宋体" w:hAnsi="宋体" w:eastAsia="宋体" w:cs="宋体"/>
          <w:color w:val="auto"/>
          <w:sz w:val="21"/>
          <w:szCs w:val="21"/>
          <w:highlight w:val="none"/>
        </w:rPr>
      </w:pPr>
    </w:p>
    <w:p w14:paraId="228D1627">
      <w:pPr>
        <w:pStyle w:val="32"/>
        <w:autoSpaceDE w:val="0"/>
        <w:autoSpaceDN w:val="0"/>
        <w:adjustRightInd w:val="0"/>
        <w:spacing w:line="360" w:lineRule="auto"/>
        <w:ind w:firstLine="3360" w:firstLineChars="16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（盖单位章）</w:t>
      </w:r>
    </w:p>
    <w:p w14:paraId="3CF8CBB7">
      <w:pPr>
        <w:pStyle w:val="32"/>
        <w:autoSpaceDE w:val="0"/>
        <w:autoSpaceDN w:val="0"/>
        <w:adjustRightInd w:val="0"/>
        <w:spacing w:line="360" w:lineRule="auto"/>
        <w:ind w:firstLine="1995" w:firstLineChars="950"/>
        <w:rPr>
          <w:rFonts w:hint="eastAsia" w:ascii="宋体" w:hAnsi="宋体" w:eastAsia="宋体" w:cs="宋体"/>
          <w:color w:val="auto"/>
          <w:sz w:val="21"/>
          <w:szCs w:val="21"/>
          <w:highlight w:val="none"/>
        </w:rPr>
      </w:pPr>
    </w:p>
    <w:p w14:paraId="29D2AA73">
      <w:pPr>
        <w:pStyle w:val="3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日</w:t>
      </w:r>
    </w:p>
    <w:p w14:paraId="53404A59">
      <w:pPr>
        <w:pStyle w:val="34"/>
        <w:jc w:val="center"/>
        <w:outlineLvl w:val="1"/>
        <w:rPr>
          <w:rFonts w:hint="eastAsia" w:ascii="宋体" w:hAnsi="宋体" w:eastAsia="宋体" w:cs="宋体"/>
          <w:color w:val="auto"/>
          <w:highlight w:val="none"/>
        </w:rPr>
      </w:pPr>
      <w:r>
        <w:rPr>
          <w:rFonts w:hint="eastAsia" w:ascii="宋体" w:hAnsi="宋体" w:eastAsia="宋体" w:cs="宋体"/>
          <w:color w:val="auto"/>
          <w:highlight w:val="none"/>
        </w:rPr>
        <w:br w:type="page"/>
      </w:r>
      <w:r>
        <w:rPr>
          <w:rFonts w:hint="eastAsia" w:ascii="宋体" w:hAnsi="宋体" w:eastAsia="宋体" w:cs="宋体"/>
          <w:color w:val="auto"/>
          <w:highlight w:val="none"/>
          <w:lang w:val="en-US" w:eastAsia="zh-CN"/>
        </w:rPr>
        <w:t>三</w:t>
      </w:r>
      <w:r>
        <w:rPr>
          <w:rFonts w:hint="eastAsia" w:ascii="宋体" w:hAnsi="宋体" w:eastAsia="宋体" w:cs="宋体"/>
          <w:color w:val="auto"/>
          <w:highlight w:val="none"/>
        </w:rPr>
        <w:t>、授权委托书</w:t>
      </w:r>
    </w:p>
    <w:p w14:paraId="211EF758">
      <w:pPr>
        <w:pStyle w:val="35"/>
        <w:autoSpaceDE w:val="0"/>
        <w:autoSpaceDN w:val="0"/>
        <w:adjustRightInd w:val="0"/>
        <w:jc w:val="center"/>
        <w:rPr>
          <w:rFonts w:hint="eastAsia" w:ascii="宋体" w:hAnsi="宋体" w:eastAsia="宋体" w:cs="宋体"/>
          <w:b/>
          <w:color w:val="auto"/>
          <w:sz w:val="30"/>
          <w:highlight w:val="none"/>
        </w:rPr>
      </w:pPr>
    </w:p>
    <w:p w14:paraId="30E98F16">
      <w:pPr>
        <w:pStyle w:val="35"/>
        <w:autoSpaceDE w:val="0"/>
        <w:autoSpaceDN w:val="0"/>
        <w:adjustRightInd w:val="0"/>
        <w:jc w:val="center"/>
        <w:rPr>
          <w:rFonts w:hint="eastAsia" w:ascii="宋体" w:hAnsi="宋体" w:eastAsia="宋体" w:cs="宋体"/>
          <w:b/>
          <w:color w:val="auto"/>
          <w:sz w:val="30"/>
          <w:highlight w:val="none"/>
        </w:rPr>
      </w:pPr>
      <w:r>
        <w:rPr>
          <w:rFonts w:hint="eastAsia" w:ascii="宋体" w:hAnsi="宋体" w:eastAsia="宋体" w:cs="宋体"/>
          <w:b/>
          <w:color w:val="auto"/>
          <w:sz w:val="30"/>
          <w:highlight w:val="none"/>
        </w:rPr>
        <w:t>授权委托书</w:t>
      </w:r>
    </w:p>
    <w:p w14:paraId="4D2F5C32">
      <w:pPr>
        <w:pStyle w:val="35"/>
        <w:autoSpaceDE w:val="0"/>
        <w:autoSpaceDN w:val="0"/>
        <w:adjustRightInd w:val="0"/>
        <w:jc w:val="center"/>
        <w:rPr>
          <w:rFonts w:hint="eastAsia" w:ascii="宋体" w:hAnsi="宋体" w:eastAsia="宋体" w:cs="宋体"/>
          <w:color w:val="auto"/>
          <w:kern w:val="0"/>
          <w:szCs w:val="21"/>
          <w:highlight w:val="none"/>
        </w:rPr>
      </w:pPr>
    </w:p>
    <w:p w14:paraId="2E11D126">
      <w:pPr>
        <w:pStyle w:val="35"/>
        <w:autoSpaceDE w:val="0"/>
        <w:autoSpaceDN w:val="0"/>
        <w:adjustRightIn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本人</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（姓名）系</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（投标人名称）的法定代表人，现委托</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（姓名）为我方代理人。代理人根据授权，以我方名义签署、澄清、说明、补正、递交、撤回、修改</w:t>
      </w:r>
      <w:r>
        <w:rPr>
          <w:rFonts w:hint="eastAsia" w:ascii="宋体" w:hAnsi="宋体" w:eastAsia="宋体" w:cs="宋体"/>
          <w:color w:val="auto"/>
          <w:kern w:val="0"/>
          <w:szCs w:val="21"/>
          <w:highlight w:val="none"/>
          <w:u w:val="single"/>
        </w:rPr>
        <w:t xml:space="preserve">             （招标项目名称）      </w:t>
      </w:r>
      <w:r>
        <w:rPr>
          <w:rFonts w:hint="eastAsia" w:ascii="宋体" w:hAnsi="宋体" w:eastAsia="宋体" w:cs="宋体"/>
          <w:color w:val="auto"/>
          <w:kern w:val="0"/>
          <w:szCs w:val="21"/>
          <w:highlight w:val="none"/>
        </w:rPr>
        <w:t>投标文件、</w:t>
      </w:r>
      <w:r>
        <w:rPr>
          <w:rFonts w:hint="eastAsia" w:ascii="宋体" w:hAnsi="宋体" w:eastAsia="宋体" w:cs="宋体"/>
          <w:color w:val="auto"/>
          <w:szCs w:val="21"/>
          <w:highlight w:val="none"/>
        </w:rPr>
        <w:t>处理投诉（异议）、</w:t>
      </w:r>
      <w:r>
        <w:rPr>
          <w:rFonts w:hint="eastAsia" w:ascii="宋体" w:hAnsi="宋体" w:eastAsia="宋体" w:cs="宋体"/>
          <w:color w:val="auto"/>
          <w:kern w:val="0"/>
          <w:szCs w:val="21"/>
          <w:highlight w:val="none"/>
        </w:rPr>
        <w:t>签订合同和处理有关事宜，其法律后果由我方承担。</w:t>
      </w:r>
    </w:p>
    <w:p w14:paraId="59135765">
      <w:pPr>
        <w:pStyle w:val="35"/>
        <w:autoSpaceDE w:val="0"/>
        <w:autoSpaceDN w:val="0"/>
        <w:adjustRightIn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委托期限：</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w:t>
      </w:r>
    </w:p>
    <w:p w14:paraId="3C4CC6C3">
      <w:pPr>
        <w:pStyle w:val="35"/>
        <w:autoSpaceDE w:val="0"/>
        <w:autoSpaceDN w:val="0"/>
        <w:adjustRightIn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代理人无转委托权。</w:t>
      </w:r>
    </w:p>
    <w:p w14:paraId="6C10C14E">
      <w:pPr>
        <w:pStyle w:val="35"/>
        <w:autoSpaceDE w:val="0"/>
        <w:autoSpaceDN w:val="0"/>
        <w:adjustRightInd w:val="0"/>
        <w:spacing w:line="360" w:lineRule="auto"/>
        <w:ind w:firstLine="420" w:firstLineChars="200"/>
        <w:jc w:val="left"/>
        <w:rPr>
          <w:rFonts w:hint="eastAsia" w:ascii="宋体" w:hAnsi="宋体" w:eastAsia="宋体" w:cs="宋体"/>
          <w:color w:val="auto"/>
          <w:kern w:val="0"/>
          <w:szCs w:val="21"/>
          <w:highlight w:val="none"/>
        </w:rPr>
      </w:pPr>
    </w:p>
    <w:p w14:paraId="48550E48">
      <w:pPr>
        <w:pStyle w:val="36"/>
        <w:autoSpaceDE w:val="0"/>
        <w:autoSpaceDN w:val="0"/>
        <w:adjustRightIn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附：委托代理人身份证复印件</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644"/>
        <w:gridCol w:w="4644"/>
      </w:tblGrid>
      <w:tr w14:paraId="40A689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5" w:hRule="atLeast"/>
        </w:trPr>
        <w:tc>
          <w:tcPr>
            <w:tcW w:w="4644" w:type="dxa"/>
            <w:vAlign w:val="center"/>
          </w:tcPr>
          <w:p w14:paraId="56D1E92A">
            <w:pPr>
              <w:pStyle w:val="32"/>
              <w:widowControl w:val="0"/>
              <w:autoSpaceDE w:val="0"/>
              <w:autoSpaceDN w:val="0"/>
              <w:adjustRightInd w:val="0"/>
              <w:spacing w:line="360" w:lineRule="auto"/>
              <w:jc w:val="center"/>
              <w:rPr>
                <w:rFonts w:hint="eastAsia" w:ascii="宋体" w:hAnsi="宋体" w:eastAsia="宋体" w:cs="宋体"/>
                <w:i/>
                <w:iCs/>
                <w:color w:val="auto"/>
                <w:sz w:val="21"/>
                <w:szCs w:val="21"/>
                <w:highlight w:val="none"/>
                <w:vertAlign w:val="baseline"/>
                <w:lang w:val="en-US" w:eastAsia="zh-CN"/>
              </w:rPr>
            </w:pPr>
            <w:r>
              <w:rPr>
                <w:rFonts w:hint="eastAsia" w:ascii="宋体" w:hAnsi="宋体" w:eastAsia="宋体" w:cs="宋体"/>
                <w:i/>
                <w:iCs/>
                <w:color w:val="auto"/>
                <w:sz w:val="21"/>
                <w:szCs w:val="21"/>
                <w:highlight w:val="none"/>
                <w:vertAlign w:val="baseline"/>
                <w:lang w:val="en-US" w:eastAsia="zh-CN"/>
              </w:rPr>
              <w:t>正面</w:t>
            </w:r>
          </w:p>
        </w:tc>
        <w:tc>
          <w:tcPr>
            <w:tcW w:w="4644" w:type="dxa"/>
            <w:vAlign w:val="center"/>
          </w:tcPr>
          <w:p w14:paraId="1CC7A212">
            <w:pPr>
              <w:pStyle w:val="32"/>
              <w:widowControl w:val="0"/>
              <w:autoSpaceDE w:val="0"/>
              <w:autoSpaceDN w:val="0"/>
              <w:adjustRightInd w:val="0"/>
              <w:spacing w:line="360" w:lineRule="auto"/>
              <w:jc w:val="center"/>
              <w:rPr>
                <w:rFonts w:hint="eastAsia" w:ascii="宋体" w:hAnsi="宋体" w:eastAsia="宋体" w:cs="宋体"/>
                <w:i/>
                <w:iCs/>
                <w:color w:val="auto"/>
                <w:sz w:val="21"/>
                <w:szCs w:val="21"/>
                <w:highlight w:val="none"/>
                <w:vertAlign w:val="baseline"/>
                <w:lang w:val="en-US" w:eastAsia="zh-CN"/>
              </w:rPr>
            </w:pPr>
            <w:r>
              <w:rPr>
                <w:rFonts w:hint="eastAsia" w:ascii="宋体" w:hAnsi="宋体" w:eastAsia="宋体" w:cs="宋体"/>
                <w:i/>
                <w:iCs/>
                <w:color w:val="auto"/>
                <w:sz w:val="21"/>
                <w:szCs w:val="21"/>
                <w:highlight w:val="none"/>
                <w:vertAlign w:val="baseline"/>
                <w:lang w:val="en-US" w:eastAsia="zh-CN"/>
              </w:rPr>
              <w:t>反面</w:t>
            </w:r>
          </w:p>
        </w:tc>
      </w:tr>
    </w:tbl>
    <w:p w14:paraId="658A93E0">
      <w:pPr>
        <w:pStyle w:val="35"/>
        <w:autoSpaceDE w:val="0"/>
        <w:autoSpaceDN w:val="0"/>
        <w:adjustRightInd w:val="0"/>
        <w:spacing w:line="360" w:lineRule="auto"/>
        <w:ind w:firstLine="420" w:firstLineChars="200"/>
        <w:jc w:val="left"/>
        <w:rPr>
          <w:rFonts w:hint="eastAsia" w:ascii="宋体" w:hAnsi="宋体" w:eastAsia="宋体" w:cs="宋体"/>
          <w:color w:val="auto"/>
          <w:kern w:val="0"/>
          <w:szCs w:val="21"/>
          <w:highlight w:val="none"/>
        </w:rPr>
      </w:pPr>
    </w:p>
    <w:p w14:paraId="38F98C2A">
      <w:pPr>
        <w:pStyle w:val="35"/>
        <w:autoSpaceDE w:val="0"/>
        <w:autoSpaceDN w:val="0"/>
        <w:adjustRightInd w:val="0"/>
        <w:spacing w:line="360" w:lineRule="auto"/>
        <w:ind w:firstLine="3360" w:firstLineChars="16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投  标  人：</w:t>
      </w:r>
      <w:r>
        <w:rPr>
          <w:rFonts w:hint="eastAsia" w:ascii="宋体" w:hAnsi="宋体" w:eastAsia="宋体" w:cs="宋体"/>
          <w:color w:val="auto"/>
          <w:kern w:val="0"/>
          <w:szCs w:val="21"/>
          <w:highlight w:val="none"/>
          <w:u w:val="single"/>
        </w:rPr>
        <w:t xml:space="preserve">      </w:t>
      </w:r>
      <w:r>
        <w:rPr>
          <w:rFonts w:hint="eastAsia" w:ascii="宋体" w:hAnsi="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（盖单位章）</w:t>
      </w:r>
    </w:p>
    <w:p w14:paraId="333F5E01">
      <w:pPr>
        <w:pStyle w:val="35"/>
        <w:autoSpaceDE w:val="0"/>
        <w:autoSpaceDN w:val="0"/>
        <w:adjustRightInd w:val="0"/>
        <w:spacing w:line="360" w:lineRule="auto"/>
        <w:ind w:firstLine="420" w:firstLineChars="200"/>
        <w:jc w:val="left"/>
        <w:rPr>
          <w:rFonts w:hint="eastAsia" w:ascii="宋体" w:hAnsi="宋体" w:eastAsia="宋体" w:cs="宋体"/>
          <w:color w:val="auto"/>
          <w:kern w:val="0"/>
          <w:szCs w:val="21"/>
          <w:highlight w:val="none"/>
        </w:rPr>
      </w:pPr>
    </w:p>
    <w:p w14:paraId="59760BB2">
      <w:pPr>
        <w:pStyle w:val="35"/>
        <w:autoSpaceDE w:val="0"/>
        <w:autoSpaceDN w:val="0"/>
        <w:adjustRightInd w:val="0"/>
        <w:spacing w:line="360" w:lineRule="auto"/>
        <w:ind w:firstLine="3360" w:firstLineChars="16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法定代表人：</w:t>
      </w:r>
      <w:r>
        <w:rPr>
          <w:rFonts w:hint="eastAsia" w:ascii="宋体" w:hAnsi="宋体" w:eastAsia="宋体" w:cs="宋体"/>
          <w:color w:val="auto"/>
          <w:kern w:val="0"/>
          <w:szCs w:val="21"/>
          <w:highlight w:val="none"/>
          <w:u w:val="single"/>
        </w:rPr>
        <w:t xml:space="preserve">             </w:t>
      </w:r>
      <w:r>
        <w:rPr>
          <w:rFonts w:hint="eastAsia" w:ascii="宋体" w:hAnsi="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（签字或盖章）</w:t>
      </w:r>
    </w:p>
    <w:p w14:paraId="0279C6AB">
      <w:pPr>
        <w:pStyle w:val="35"/>
        <w:autoSpaceDE w:val="0"/>
        <w:autoSpaceDN w:val="0"/>
        <w:adjustRightInd w:val="0"/>
        <w:spacing w:line="360" w:lineRule="auto"/>
        <w:jc w:val="left"/>
        <w:rPr>
          <w:rFonts w:hint="eastAsia" w:ascii="宋体" w:hAnsi="宋体" w:eastAsia="宋体" w:cs="宋体"/>
          <w:color w:val="auto"/>
          <w:kern w:val="0"/>
          <w:szCs w:val="21"/>
          <w:highlight w:val="none"/>
        </w:rPr>
      </w:pPr>
    </w:p>
    <w:p w14:paraId="46CE3ABF">
      <w:pPr>
        <w:ind w:firstLine="3570" w:firstLineChars="1700"/>
        <w:rPr>
          <w:rFonts w:hint="eastAsia" w:ascii="宋体" w:hAnsi="宋体" w:eastAsia="宋体" w:cs="宋体"/>
          <w:color w:val="auto"/>
          <w:highlight w:val="none"/>
        </w:rPr>
      </w:pP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日</w:t>
      </w:r>
    </w:p>
    <w:p w14:paraId="2057F813">
      <w:pPr>
        <w:ind w:firstLine="420" w:firstLineChars="200"/>
        <w:rPr>
          <w:rFonts w:hint="eastAsia" w:ascii="宋体" w:hAnsi="宋体" w:eastAsia="宋体" w:cs="宋体"/>
          <w:color w:val="auto"/>
          <w:highlight w:val="none"/>
        </w:rPr>
      </w:pPr>
    </w:p>
    <w:p w14:paraId="517CE1BA">
      <w:pPr>
        <w:pStyle w:val="37"/>
        <w:rPr>
          <w:rFonts w:hint="eastAsia" w:ascii="宋体" w:hAnsi="宋体" w:eastAsia="宋体" w:cs="宋体"/>
          <w:color w:val="auto"/>
          <w:highlight w:val="none"/>
        </w:rPr>
      </w:pPr>
    </w:p>
    <w:bookmarkEnd w:id="54"/>
    <w:p w14:paraId="58CCA921">
      <w:pP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br w:type="page"/>
      </w:r>
    </w:p>
    <w:p w14:paraId="7DF1E28B">
      <w:pPr>
        <w:pStyle w:val="38"/>
        <w:jc w:val="center"/>
        <w:outlineLvl w:val="1"/>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四</w:t>
      </w:r>
      <w:r>
        <w:rPr>
          <w:rFonts w:hint="eastAsia" w:ascii="宋体" w:hAnsi="宋体" w:eastAsia="宋体" w:cs="宋体"/>
          <w:color w:val="auto"/>
          <w:highlight w:val="none"/>
        </w:rPr>
        <w:t>、资格审查资料</w:t>
      </w:r>
    </w:p>
    <w:p w14:paraId="733479E4">
      <w:pPr>
        <w:rPr>
          <w:rFonts w:hint="eastAsia" w:ascii="宋体" w:hAnsi="宋体" w:eastAsia="宋体" w:cs="宋体"/>
          <w:color w:val="auto"/>
          <w:highlight w:val="none"/>
        </w:rPr>
      </w:pPr>
    </w:p>
    <w:p w14:paraId="0D58529C">
      <w:pPr>
        <w:pStyle w:val="17"/>
        <w:spacing w:line="360" w:lineRule="auto"/>
        <w:rPr>
          <w:rFonts w:hint="eastAsia" w:ascii="宋体" w:hAnsi="宋体" w:eastAsia="宋体" w:cs="宋体"/>
          <w:b/>
          <w:bCs/>
          <w:color w:val="auto"/>
          <w:highlight w:val="none"/>
        </w:rPr>
      </w:pPr>
      <w:r>
        <w:rPr>
          <w:rFonts w:hint="eastAsia" w:ascii="宋体" w:hAnsi="宋体" w:eastAsia="宋体" w:cs="宋体"/>
          <w:color w:val="auto"/>
          <w:highlight w:val="none"/>
        </w:rPr>
        <w:t>说明：资格审查资料组成见投标人须知3.1款。</w:t>
      </w:r>
    </w:p>
    <w:p w14:paraId="5FFA3CFA">
      <w:pPr>
        <w:pStyle w:val="17"/>
        <w:rPr>
          <w:rFonts w:hint="eastAsia" w:ascii="宋体" w:hAnsi="宋体" w:eastAsia="宋体" w:cs="宋体"/>
          <w:color w:val="auto"/>
          <w:highlight w:val="none"/>
        </w:rPr>
      </w:pPr>
    </w:p>
    <w:p w14:paraId="3F830B9C">
      <w:pPr>
        <w:pStyle w:val="17"/>
        <w:rPr>
          <w:rFonts w:hint="eastAsia" w:ascii="宋体" w:hAnsi="宋体" w:eastAsia="宋体" w:cs="宋体"/>
          <w:color w:val="auto"/>
          <w:highlight w:val="none"/>
        </w:rPr>
      </w:pPr>
    </w:p>
    <w:p w14:paraId="1DC9C6B6">
      <w:pPr>
        <w:pStyle w:val="17"/>
        <w:rPr>
          <w:rFonts w:hint="eastAsia" w:ascii="宋体" w:hAnsi="宋体" w:eastAsia="宋体" w:cs="宋体"/>
          <w:color w:val="auto"/>
          <w:highlight w:val="none"/>
        </w:rPr>
      </w:pPr>
    </w:p>
    <w:p w14:paraId="2D007868">
      <w:pPr>
        <w:pStyle w:val="17"/>
        <w:rPr>
          <w:rFonts w:hint="eastAsia" w:ascii="宋体" w:hAnsi="宋体" w:eastAsia="宋体" w:cs="宋体"/>
          <w:color w:val="auto"/>
          <w:highlight w:val="none"/>
        </w:rPr>
      </w:pPr>
    </w:p>
    <w:p w14:paraId="2AAD67F9">
      <w:pPr>
        <w:pStyle w:val="17"/>
        <w:rPr>
          <w:rFonts w:hint="eastAsia" w:ascii="宋体" w:hAnsi="宋体" w:eastAsia="宋体" w:cs="宋体"/>
          <w:color w:val="auto"/>
          <w:highlight w:val="none"/>
        </w:rPr>
      </w:pPr>
    </w:p>
    <w:p w14:paraId="22DE6C6A">
      <w:pPr>
        <w:pStyle w:val="17"/>
        <w:rPr>
          <w:rFonts w:hint="eastAsia" w:ascii="宋体" w:hAnsi="宋体" w:eastAsia="宋体" w:cs="宋体"/>
          <w:color w:val="auto"/>
          <w:highlight w:val="none"/>
        </w:rPr>
      </w:pPr>
    </w:p>
    <w:p w14:paraId="77FE35F8">
      <w:pPr>
        <w:pStyle w:val="17"/>
        <w:rPr>
          <w:rFonts w:hint="eastAsia" w:ascii="宋体" w:hAnsi="宋体" w:eastAsia="宋体" w:cs="宋体"/>
          <w:color w:val="auto"/>
          <w:highlight w:val="none"/>
        </w:rPr>
      </w:pPr>
    </w:p>
    <w:p w14:paraId="4AF694C8">
      <w:pPr>
        <w:pStyle w:val="17"/>
        <w:rPr>
          <w:rFonts w:hint="eastAsia" w:ascii="宋体" w:hAnsi="宋体" w:eastAsia="宋体" w:cs="宋体"/>
          <w:color w:val="auto"/>
          <w:highlight w:val="none"/>
        </w:rPr>
      </w:pPr>
    </w:p>
    <w:p w14:paraId="63BDF715">
      <w:pPr>
        <w:pStyle w:val="17"/>
        <w:rPr>
          <w:rFonts w:hint="eastAsia" w:ascii="宋体" w:hAnsi="宋体" w:eastAsia="宋体" w:cs="宋体"/>
          <w:color w:val="auto"/>
          <w:highlight w:val="none"/>
        </w:rPr>
      </w:pPr>
    </w:p>
    <w:p w14:paraId="5FDA4480">
      <w:pPr>
        <w:pStyle w:val="17"/>
        <w:rPr>
          <w:rFonts w:hint="eastAsia" w:ascii="宋体" w:hAnsi="宋体" w:eastAsia="宋体" w:cs="宋体"/>
          <w:color w:val="auto"/>
          <w:highlight w:val="none"/>
        </w:rPr>
      </w:pPr>
    </w:p>
    <w:p w14:paraId="7C474807">
      <w:pPr>
        <w:pStyle w:val="17"/>
        <w:rPr>
          <w:rFonts w:hint="eastAsia" w:ascii="宋体" w:hAnsi="宋体" w:eastAsia="宋体" w:cs="宋体"/>
          <w:color w:val="auto"/>
          <w:highlight w:val="none"/>
        </w:rPr>
      </w:pPr>
    </w:p>
    <w:p w14:paraId="574C0FCC">
      <w:pPr>
        <w:pStyle w:val="17"/>
        <w:rPr>
          <w:rFonts w:hint="eastAsia" w:ascii="宋体" w:hAnsi="宋体" w:eastAsia="宋体" w:cs="宋体"/>
          <w:color w:val="auto"/>
          <w:highlight w:val="none"/>
        </w:rPr>
      </w:pPr>
    </w:p>
    <w:p w14:paraId="0D4E4732">
      <w:pPr>
        <w:pStyle w:val="17"/>
        <w:rPr>
          <w:rFonts w:hint="eastAsia" w:ascii="宋体" w:hAnsi="宋体" w:eastAsia="宋体" w:cs="宋体"/>
          <w:color w:val="auto"/>
          <w:highlight w:val="none"/>
        </w:rPr>
      </w:pPr>
    </w:p>
    <w:p w14:paraId="7DA8E579">
      <w:pPr>
        <w:pStyle w:val="17"/>
        <w:rPr>
          <w:rFonts w:hint="eastAsia" w:ascii="宋体" w:hAnsi="宋体" w:eastAsia="宋体" w:cs="宋体"/>
          <w:color w:val="auto"/>
          <w:highlight w:val="none"/>
        </w:rPr>
      </w:pPr>
    </w:p>
    <w:p w14:paraId="73111328">
      <w:pPr>
        <w:pStyle w:val="17"/>
        <w:rPr>
          <w:rFonts w:hint="eastAsia" w:ascii="宋体" w:hAnsi="宋体" w:eastAsia="宋体" w:cs="宋体"/>
          <w:color w:val="auto"/>
          <w:highlight w:val="none"/>
        </w:rPr>
      </w:pPr>
    </w:p>
    <w:p w14:paraId="2DF1F7FD">
      <w:pPr>
        <w:pStyle w:val="17"/>
        <w:rPr>
          <w:rFonts w:hint="eastAsia" w:ascii="宋体" w:hAnsi="宋体" w:eastAsia="宋体" w:cs="宋体"/>
          <w:color w:val="auto"/>
          <w:highlight w:val="none"/>
        </w:rPr>
      </w:pPr>
    </w:p>
    <w:p w14:paraId="3DEBA4C9">
      <w:pPr>
        <w:pStyle w:val="17"/>
        <w:rPr>
          <w:rFonts w:hint="eastAsia" w:ascii="宋体" w:hAnsi="宋体" w:eastAsia="宋体" w:cs="宋体"/>
          <w:color w:val="auto"/>
          <w:highlight w:val="none"/>
        </w:rPr>
      </w:pPr>
    </w:p>
    <w:p w14:paraId="57BDAFE4">
      <w:pPr>
        <w:pStyle w:val="17"/>
        <w:rPr>
          <w:rFonts w:hint="eastAsia" w:ascii="宋体" w:hAnsi="宋体" w:eastAsia="宋体" w:cs="宋体"/>
          <w:color w:val="auto"/>
          <w:highlight w:val="none"/>
        </w:rPr>
      </w:pPr>
    </w:p>
    <w:p w14:paraId="1D88903D">
      <w:pPr>
        <w:pStyle w:val="17"/>
        <w:rPr>
          <w:rFonts w:hint="eastAsia" w:ascii="宋体" w:hAnsi="宋体" w:eastAsia="宋体" w:cs="宋体"/>
          <w:color w:val="auto"/>
          <w:highlight w:val="none"/>
        </w:rPr>
      </w:pPr>
    </w:p>
    <w:p w14:paraId="55E66433">
      <w:pPr>
        <w:pStyle w:val="17"/>
        <w:rPr>
          <w:rFonts w:hint="eastAsia" w:ascii="宋体" w:hAnsi="宋体" w:eastAsia="宋体" w:cs="宋体"/>
          <w:color w:val="auto"/>
          <w:highlight w:val="none"/>
        </w:rPr>
      </w:pPr>
    </w:p>
    <w:p w14:paraId="7CEEDEB2">
      <w:pPr>
        <w:pStyle w:val="17"/>
        <w:rPr>
          <w:rFonts w:hint="eastAsia" w:ascii="宋体" w:hAnsi="宋体" w:eastAsia="宋体" w:cs="宋体"/>
          <w:color w:val="auto"/>
          <w:highlight w:val="none"/>
        </w:rPr>
      </w:pPr>
    </w:p>
    <w:p w14:paraId="2E0EDE76">
      <w:pPr>
        <w:pStyle w:val="17"/>
        <w:rPr>
          <w:rFonts w:hint="eastAsia" w:ascii="宋体" w:hAnsi="宋体" w:eastAsia="宋体" w:cs="宋体"/>
          <w:color w:val="auto"/>
          <w:highlight w:val="none"/>
        </w:rPr>
      </w:pPr>
    </w:p>
    <w:p w14:paraId="3AD1196E">
      <w:pPr>
        <w:pStyle w:val="17"/>
        <w:rPr>
          <w:rFonts w:hint="eastAsia" w:ascii="宋体" w:hAnsi="宋体" w:eastAsia="宋体" w:cs="宋体"/>
          <w:color w:val="auto"/>
          <w:highlight w:val="none"/>
        </w:rPr>
      </w:pPr>
    </w:p>
    <w:p w14:paraId="21A4C709">
      <w:pPr>
        <w:pStyle w:val="17"/>
        <w:rPr>
          <w:rFonts w:hint="eastAsia" w:ascii="宋体" w:hAnsi="宋体" w:eastAsia="宋体" w:cs="宋体"/>
          <w:color w:val="auto"/>
          <w:highlight w:val="none"/>
        </w:rPr>
      </w:pPr>
    </w:p>
    <w:p w14:paraId="664CE320">
      <w:pPr>
        <w:pStyle w:val="17"/>
        <w:rPr>
          <w:rFonts w:hint="eastAsia" w:ascii="宋体" w:hAnsi="宋体" w:eastAsia="宋体" w:cs="宋体"/>
          <w:color w:val="auto"/>
          <w:highlight w:val="none"/>
        </w:rPr>
      </w:pPr>
    </w:p>
    <w:p w14:paraId="3B1B836D">
      <w:pPr>
        <w:pStyle w:val="17"/>
        <w:rPr>
          <w:rFonts w:hint="eastAsia" w:ascii="宋体" w:hAnsi="宋体" w:eastAsia="宋体" w:cs="宋体"/>
          <w:color w:val="auto"/>
          <w:highlight w:val="none"/>
        </w:rPr>
      </w:pPr>
    </w:p>
    <w:p w14:paraId="46076387">
      <w:pPr>
        <w:pStyle w:val="17"/>
        <w:rPr>
          <w:rFonts w:hint="eastAsia" w:ascii="宋体" w:hAnsi="宋体" w:eastAsia="宋体" w:cs="宋体"/>
          <w:color w:val="auto"/>
          <w:highlight w:val="none"/>
        </w:rPr>
      </w:pPr>
    </w:p>
    <w:p w14:paraId="68A12651">
      <w:pPr>
        <w:pStyle w:val="17"/>
        <w:rPr>
          <w:rFonts w:hint="eastAsia" w:ascii="宋体" w:hAnsi="宋体" w:eastAsia="宋体" w:cs="宋体"/>
          <w:color w:val="auto"/>
          <w:highlight w:val="none"/>
        </w:rPr>
      </w:pPr>
    </w:p>
    <w:p w14:paraId="585D720B">
      <w:pPr>
        <w:pStyle w:val="17"/>
        <w:rPr>
          <w:rFonts w:hint="eastAsia" w:ascii="宋体" w:hAnsi="宋体" w:eastAsia="宋体" w:cs="宋体"/>
          <w:color w:val="auto"/>
          <w:highlight w:val="none"/>
        </w:rPr>
      </w:pPr>
    </w:p>
    <w:p w14:paraId="39B66B74">
      <w:pPr>
        <w:pStyle w:val="17"/>
        <w:rPr>
          <w:rFonts w:hint="eastAsia" w:ascii="宋体" w:hAnsi="宋体" w:eastAsia="宋体" w:cs="宋体"/>
          <w:color w:val="auto"/>
          <w:highlight w:val="none"/>
        </w:rPr>
        <w:sectPr>
          <w:footerReference r:id="rId4" w:type="default"/>
          <w:pgSz w:w="11906" w:h="16838"/>
          <w:pgMar w:top="1418" w:right="1274" w:bottom="1418" w:left="1560" w:header="851" w:footer="992" w:gutter="0"/>
          <w:pgNumType w:fmt="decimal" w:start="1"/>
          <w:cols w:space="720" w:num="1"/>
          <w:docGrid w:type="lines" w:linePitch="312" w:charSpace="0"/>
        </w:sectPr>
      </w:pPr>
    </w:p>
    <w:p w14:paraId="700735B1">
      <w:pPr>
        <w:pStyle w:val="17"/>
        <w:rPr>
          <w:rFonts w:hint="eastAsia" w:ascii="宋体" w:hAnsi="宋体" w:eastAsia="宋体" w:cs="宋体"/>
          <w:color w:val="auto"/>
          <w:highlight w:val="none"/>
        </w:rPr>
        <w:sectPr>
          <w:type w:val="continuous"/>
          <w:pgSz w:w="11906" w:h="16838"/>
          <w:pgMar w:top="1418" w:right="1274" w:bottom="1418" w:left="1560" w:header="851" w:footer="992" w:gutter="0"/>
          <w:pgNumType w:fmt="decimal" w:start="1"/>
          <w:cols w:space="720" w:num="1"/>
          <w:docGrid w:type="lines" w:linePitch="312" w:charSpace="0"/>
        </w:sectPr>
      </w:pPr>
    </w:p>
    <w:p w14:paraId="0A7916A9">
      <w:pPr>
        <w:pStyle w:val="38"/>
        <w:jc w:val="center"/>
        <w:outlineLvl w:val="1"/>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五</w:t>
      </w:r>
      <w:r>
        <w:rPr>
          <w:rFonts w:hint="eastAsia" w:ascii="宋体" w:hAnsi="宋体" w:eastAsia="宋体" w:cs="宋体"/>
          <w:color w:val="auto"/>
          <w:highlight w:val="none"/>
        </w:rPr>
        <w:t>、投标报价表</w:t>
      </w:r>
    </w:p>
    <w:p w14:paraId="78F74AF9">
      <w:pPr>
        <w:snapToGrid w:val="0"/>
        <w:spacing w:line="500" w:lineRule="exact"/>
        <w:ind w:firstLine="420" w:firstLineChars="200"/>
        <w:rPr>
          <w:rFonts w:hint="eastAsia" w:ascii="宋体" w:hAnsi="宋体" w:eastAsia="宋体" w:cs="宋体"/>
          <w:color w:val="auto"/>
          <w:szCs w:val="21"/>
          <w:highlight w:val="none"/>
        </w:rPr>
      </w:pPr>
    </w:p>
    <w:tbl>
      <w:tblPr>
        <w:tblStyle w:val="18"/>
        <w:tblW w:w="15080" w:type="dxa"/>
        <w:tblInd w:w="99"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18"/>
        <w:gridCol w:w="1121"/>
        <w:gridCol w:w="9066"/>
        <w:gridCol w:w="792"/>
        <w:gridCol w:w="1144"/>
        <w:gridCol w:w="996"/>
        <w:gridCol w:w="1343"/>
      </w:tblGrid>
      <w:tr w14:paraId="450F58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6" w:hRule="atLeast"/>
        </w:trPr>
        <w:tc>
          <w:tcPr>
            <w:tcW w:w="15080" w:type="dxa"/>
            <w:gridSpan w:val="7"/>
            <w:tcBorders>
              <w:top w:val="nil"/>
              <w:left w:val="nil"/>
              <w:bottom w:val="nil"/>
              <w:right w:val="nil"/>
            </w:tcBorders>
            <w:shd w:val="clear" w:color="auto" w:fill="auto"/>
            <w:noWrap/>
            <w:vAlign w:val="center"/>
          </w:tcPr>
          <w:p w14:paraId="103F36AF">
            <w:pPr>
              <w:keepNext w:val="0"/>
              <w:keepLines w:val="0"/>
              <w:widowControl/>
              <w:suppressLineNumbers w:val="0"/>
              <w:jc w:val="center"/>
              <w:textAlignment w:val="center"/>
              <w:rPr>
                <w:rFonts w:hint="default" w:ascii="宋体" w:hAnsi="宋体" w:eastAsia="宋体" w:cs="宋体"/>
                <w:i w:val="0"/>
                <w:iCs w:val="0"/>
                <w:color w:val="000000"/>
                <w:sz w:val="32"/>
                <w:szCs w:val="32"/>
                <w:u w:val="none"/>
                <w:lang w:val="en-US"/>
              </w:rPr>
            </w:pPr>
            <w:r>
              <w:rPr>
                <w:rFonts w:hint="eastAsia" w:ascii="宋体" w:hAnsi="宋体" w:eastAsia="宋体" w:cs="宋体"/>
                <w:i w:val="0"/>
                <w:iCs w:val="0"/>
                <w:color w:val="000000"/>
                <w:kern w:val="0"/>
                <w:sz w:val="32"/>
                <w:szCs w:val="32"/>
                <w:u w:val="none"/>
                <w:lang w:val="en-US" w:eastAsia="zh-CN" w:bidi="ar"/>
              </w:rPr>
              <w:t>2026年度盐城国际会展中心弱电智能化维保及活动保障服务项目投标报价表</w:t>
            </w:r>
          </w:p>
        </w:tc>
      </w:tr>
      <w:tr w14:paraId="0C1C30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3"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274BAEC">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序号</w:t>
            </w:r>
          </w:p>
        </w:tc>
        <w:tc>
          <w:tcPr>
            <w:tcW w:w="112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8726A70">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项目名称</w:t>
            </w:r>
          </w:p>
        </w:tc>
        <w:tc>
          <w:tcPr>
            <w:tcW w:w="912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C435822">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项目描述</w:t>
            </w:r>
          </w:p>
        </w:tc>
        <w:tc>
          <w:tcPr>
            <w:tcW w:w="79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08C6627">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数量</w:t>
            </w:r>
          </w:p>
        </w:tc>
        <w:tc>
          <w:tcPr>
            <w:tcW w:w="114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D4B3E1E">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单位</w:t>
            </w:r>
          </w:p>
        </w:tc>
        <w:tc>
          <w:tcPr>
            <w:tcW w:w="99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6EB2F56">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全费用综合单价（元）</w:t>
            </w:r>
          </w:p>
        </w:tc>
        <w:tc>
          <w:tcPr>
            <w:tcW w:w="134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2B6E28D">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合价（元）</w:t>
            </w:r>
          </w:p>
        </w:tc>
      </w:tr>
      <w:tr w14:paraId="6DEB2C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73" w:hRule="atLeast"/>
        </w:trPr>
        <w:tc>
          <w:tcPr>
            <w:tcW w:w="55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68D457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2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021B2D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会议（活动）保障服务</w:t>
            </w:r>
          </w:p>
        </w:tc>
        <w:tc>
          <w:tcPr>
            <w:tcW w:w="912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8DAFD1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1.一般需求会议：需增配2名专业会议服务保障人员，负责会议期间音视频设备、大屏显示等基础保障工作，确保会议正常进行。</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2.操控型会议：需增配3名专业会议服务保障人员，其中1人负责灯光调控，1人负责音箱及调音台操作，1人专职配合电视台媒体等信号转播工作，保障会议各类信号传输、设备联动顺畅。</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3.人员资质要求：所有会议服务保障人员必须熟悉各类调音台（如Midas M32、YAMAHA TF5等）的操作与调试；熟悉大屏相关播放软硬件，包括诺瓦C系列、D系列、H系列等设备使用，掌握Hirender、Kommander T0、Millumin4等软件操作使用；熟悉灯光相关设备如老虎灯光控制台，能快速处理播放过程中的各类故障，确保会议期间设备稳定运行。</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注：常规活动、大型活动、重要会议及会议类型（一般需求会议、操控型会议）的界定由东拓公司提前书面或口头通知维保单位，维保单位需在接到通知后24小时内完成增配人员调配到位，明确各点位值守人员职责并报备东拓公司。所有维保人员及会议服务保障人员更换需提前7个工作日书面告知东拓公司，经同意后方可更换，项目负责人更换需提前15个工作日书面告知东拓公司并提供新任负责人资质证明，经审核同意后方可更换，确保活动现场、安保指挥中心及会议现场等关键点位值守不中断、服务连续性不受影响。</w:t>
            </w:r>
          </w:p>
        </w:tc>
        <w:tc>
          <w:tcPr>
            <w:tcW w:w="79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4A95B7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4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5F9FF3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w:t>
            </w:r>
          </w:p>
        </w:tc>
        <w:tc>
          <w:tcPr>
            <w:tcW w:w="99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AB1A212">
            <w:pPr>
              <w:keepNext w:val="0"/>
              <w:keepLines w:val="0"/>
              <w:widowControl/>
              <w:suppressLineNumbers w:val="0"/>
              <w:jc w:val="center"/>
              <w:textAlignment w:val="center"/>
              <w:rPr>
                <w:rFonts w:ascii="等线" w:hAnsi="等线" w:eastAsia="等线" w:cs="等线"/>
                <w:i w:val="0"/>
                <w:iCs w:val="0"/>
                <w:color w:val="000000"/>
                <w:sz w:val="20"/>
                <w:szCs w:val="20"/>
                <w:u w:val="none"/>
              </w:rPr>
            </w:pPr>
          </w:p>
        </w:tc>
        <w:tc>
          <w:tcPr>
            <w:tcW w:w="13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CCBC5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14:paraId="6262A8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7" w:hRule="atLeast"/>
        </w:trPr>
        <w:tc>
          <w:tcPr>
            <w:tcW w:w="55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556306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12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BA21FC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设备清洗除尘服务</w:t>
            </w:r>
          </w:p>
        </w:tc>
        <w:tc>
          <w:tcPr>
            <w:tcW w:w="912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4C0CCB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服务期内提供一次全馆范围内（含机房、弱电设备间、操作间等）机柜设备、桌面电脑及服务器等设施设备清洗除尘服务，确保设备散热正常。</w:t>
            </w:r>
          </w:p>
        </w:tc>
        <w:tc>
          <w:tcPr>
            <w:tcW w:w="79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4880BD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4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AE5C8E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次</w:t>
            </w:r>
          </w:p>
        </w:tc>
        <w:tc>
          <w:tcPr>
            <w:tcW w:w="99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B8F32C4">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p>
        </w:tc>
        <w:tc>
          <w:tcPr>
            <w:tcW w:w="13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A9F09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14:paraId="7639BA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74" w:hRule="atLeast"/>
        </w:trPr>
        <w:tc>
          <w:tcPr>
            <w:tcW w:w="55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490605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12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84697A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安全软件续费</w:t>
            </w:r>
          </w:p>
        </w:tc>
        <w:tc>
          <w:tcPr>
            <w:tcW w:w="9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7A71B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软件续费：维保单位需提前30个工作日对接东拓公司，完成网络安全相关设备软件（一台防火墙：型号DAS-NGFW290）续费，维保时间为1年，续费时间也为1年的授权续费事宜，确保软件授权不中断，保障设备安全防护功能持续有效；续费完成后3个工作日内，向东拓公司提交续费凭证及相关证明文件。</w:t>
            </w:r>
          </w:p>
        </w:tc>
        <w:tc>
          <w:tcPr>
            <w:tcW w:w="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9BEE4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D4AB8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w:t>
            </w:r>
          </w:p>
        </w:tc>
        <w:tc>
          <w:tcPr>
            <w:tcW w:w="99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34DB40">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p>
        </w:tc>
        <w:tc>
          <w:tcPr>
            <w:tcW w:w="13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43631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14:paraId="4033E2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2" w:hRule="atLeast"/>
        </w:trPr>
        <w:tc>
          <w:tcPr>
            <w:tcW w:w="55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2442E6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12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24BCE3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UPS电源原厂服务</w:t>
            </w:r>
          </w:p>
        </w:tc>
        <w:tc>
          <w:tcPr>
            <w:tcW w:w="9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6D46F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服务周期内提供不低于1次原厂家巡检服务</w:t>
            </w:r>
          </w:p>
        </w:tc>
        <w:tc>
          <w:tcPr>
            <w:tcW w:w="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D6A1D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B3929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w:t>
            </w:r>
          </w:p>
        </w:tc>
        <w:tc>
          <w:tcPr>
            <w:tcW w:w="99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A50F3DD">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p>
        </w:tc>
        <w:tc>
          <w:tcPr>
            <w:tcW w:w="13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AE402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14:paraId="53684E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5" w:hRule="atLeast"/>
        </w:trPr>
        <w:tc>
          <w:tcPr>
            <w:tcW w:w="55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DE3390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12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2091DD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冷通道空调滤网更换</w:t>
            </w:r>
          </w:p>
        </w:tc>
        <w:tc>
          <w:tcPr>
            <w:tcW w:w="9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3F999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内机过滤网（精密空调A配件）：每日检查过滤网清洁度，若有明显灰尘堆积及时清理；每周对过滤网进行深度清洁，去除顽固污渍；每月检查过滤网完整性，若出现破损、变形及时更换；每季度统计过滤网损耗情况，确保备用滤网储备充足；服务周期内提供不低于2次过滤网更换服务（为精密空调系统滤网至少半年更换一次的服务），订货周期不超过5天</w:t>
            </w:r>
          </w:p>
        </w:tc>
        <w:tc>
          <w:tcPr>
            <w:tcW w:w="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DCED8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31908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w:t>
            </w:r>
          </w:p>
        </w:tc>
        <w:tc>
          <w:tcPr>
            <w:tcW w:w="99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F41DD69">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p>
        </w:tc>
        <w:tc>
          <w:tcPr>
            <w:tcW w:w="13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13C6C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14:paraId="66A0A9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3" w:hRule="atLeast"/>
        </w:trPr>
        <w:tc>
          <w:tcPr>
            <w:tcW w:w="55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890913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112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BF542A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冷通道原厂服务</w:t>
            </w:r>
          </w:p>
        </w:tc>
        <w:tc>
          <w:tcPr>
            <w:tcW w:w="912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E28024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服务周期内提供不低于1次原厂家巡检服务</w:t>
            </w:r>
          </w:p>
        </w:tc>
        <w:tc>
          <w:tcPr>
            <w:tcW w:w="79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4C11DE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4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201FD0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w:t>
            </w:r>
          </w:p>
        </w:tc>
        <w:tc>
          <w:tcPr>
            <w:tcW w:w="99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2107317">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p>
        </w:tc>
        <w:tc>
          <w:tcPr>
            <w:tcW w:w="13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F398D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14:paraId="32623F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558"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5479381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1121"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22A892A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人员驻场服务及配套</w:t>
            </w:r>
          </w:p>
        </w:tc>
        <w:tc>
          <w:tcPr>
            <w:tcW w:w="9126" w:type="dxa"/>
            <w:vMerge w:val="restart"/>
            <w:tcBorders>
              <w:top w:val="single" w:color="000000" w:sz="4" w:space="0"/>
              <w:left w:val="single" w:color="000000" w:sz="4" w:space="0"/>
              <w:bottom w:val="single" w:color="000000" w:sz="4" w:space="0"/>
              <w:right w:val="single" w:color="000000" w:sz="4" w:space="0"/>
            </w:tcBorders>
            <w:shd w:val="clear" w:color="auto" w:fill="FFFFFF"/>
            <w:vAlign w:val="top"/>
          </w:tcPr>
          <w:p w14:paraId="2456BC9E">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基础驻场人员:要求配备1名专职常驻维保人员，常驻人员需全程在岗（遵循东拓公司正常工作时间，含节假日值班安排），负责日常全馆（含改扩建10万平方米、老馆4.2万平方米区域）弱电系统巡检、故障排查、设备维护、数据记录等基础工作，同时兼顾安保指挥中心日常设备值守与状态监测活动期间增配人员:1.常规活动期间：在1名常驻人员基础上，额外增配1名维保人员驻场配合。增配人员需分工值守关键点位，其中1人驻守活动现场（含展厅、会议区等活动核心区域），协同常驻人员做好现场设备实时监测、故障快速响应；1人值守安保指挥中心，保障指挥中心内弱电设备（监控平台、广播系统、五方对讲终端等）稳定运行，活动结束后共同完成全区域设备复位、巡检及状态汇总。2.大型活动及重要会议期间：在1名常驻人员基础上，额外增配2名维保人员驻场配合，形成3人值守团队，明确点位分工。1人专职驻守活动现场核心区域（主舞台、贵宾区、关键展厅），全程跟进音视频、灯光联动设备；1人固定值守安保指挥中心，负责监控系统、应急广播、智能管控平台等核心设备的24小时不间断监测，及时同步故障信息；常驻人员统筹全局，巡查全馆薄弱点位，协调现场与指挥中心的维保工作，提前24小时完成系统全面排查、调试，活动结束后完成系统复盘及问题整改跟踪。耗材及配件管理要求:维保服务过程中所需的耗材、配件（如网线、水晶头、接口、小型元器件、跳线、清洁用品、空调配件、大屏播放软件相关配件、调音台配件等），单个项目或单次维修中费用在3000元（含）以内的，由维保单位承担，不单独向东拓公司申请支付；若耗材及配件费用超过3000元的（如更换交换机、大屏模组、UPS电池组、空调核心部件等），维保单位需提前向东拓公司提交耗材/配件采购申请，注明名称、规格、数量、单价、总价、使用用途及对应设备清单编号，附上原厂报价单，经东拓公司审核同意后，由维保单位负责采购及更换，采购周期不超过7个工作日（空调加试罐、内机过滤网等明确订货周期的配件按约定执行），费用按合同约定方式结算。</w:t>
            </w:r>
          </w:p>
        </w:tc>
        <w:tc>
          <w:tcPr>
            <w:tcW w:w="792"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42C589E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44"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601B51E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w:t>
            </w:r>
          </w:p>
        </w:tc>
        <w:tc>
          <w:tcPr>
            <w:tcW w:w="996"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4478BD5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3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45C361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14:paraId="7F2369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5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9B9CBCA">
            <w:pPr>
              <w:jc w:val="center"/>
              <w:rPr>
                <w:rFonts w:hint="eastAsia" w:ascii="宋体" w:hAnsi="宋体" w:eastAsia="宋体" w:cs="宋体"/>
                <w:i w:val="0"/>
                <w:iCs w:val="0"/>
                <w:color w:val="000000"/>
                <w:sz w:val="20"/>
                <w:szCs w:val="20"/>
                <w:u w:val="none"/>
              </w:rPr>
            </w:pPr>
          </w:p>
        </w:tc>
        <w:tc>
          <w:tcPr>
            <w:tcW w:w="112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BB29FB6">
            <w:pPr>
              <w:jc w:val="center"/>
              <w:rPr>
                <w:rFonts w:hint="eastAsia" w:ascii="宋体" w:hAnsi="宋体" w:eastAsia="宋体" w:cs="宋体"/>
                <w:i w:val="0"/>
                <w:iCs w:val="0"/>
                <w:color w:val="000000"/>
                <w:sz w:val="20"/>
                <w:szCs w:val="20"/>
                <w:u w:val="none"/>
              </w:rPr>
            </w:pPr>
          </w:p>
        </w:tc>
        <w:tc>
          <w:tcPr>
            <w:tcW w:w="9126" w:type="dxa"/>
            <w:vMerge w:val="continue"/>
            <w:tcBorders>
              <w:top w:val="single" w:color="000000" w:sz="4" w:space="0"/>
              <w:left w:val="single" w:color="000000" w:sz="4" w:space="0"/>
              <w:bottom w:val="single" w:color="000000" w:sz="4" w:space="0"/>
              <w:right w:val="single" w:color="000000" w:sz="4" w:space="0"/>
            </w:tcBorders>
            <w:shd w:val="clear" w:color="auto" w:fill="FFFFFF"/>
            <w:vAlign w:val="top"/>
          </w:tcPr>
          <w:p w14:paraId="52565F18">
            <w:pPr>
              <w:jc w:val="left"/>
              <w:rPr>
                <w:rFonts w:hint="eastAsia" w:ascii="宋体" w:hAnsi="宋体" w:eastAsia="宋体" w:cs="宋体"/>
                <w:i w:val="0"/>
                <w:iCs w:val="0"/>
                <w:color w:val="000000"/>
                <w:sz w:val="20"/>
                <w:szCs w:val="20"/>
                <w:u w:val="none"/>
              </w:rPr>
            </w:pPr>
          </w:p>
        </w:tc>
        <w:tc>
          <w:tcPr>
            <w:tcW w:w="79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280E187">
            <w:pPr>
              <w:jc w:val="center"/>
              <w:rPr>
                <w:rFonts w:hint="eastAsia" w:ascii="宋体" w:hAnsi="宋体" w:eastAsia="宋体" w:cs="宋体"/>
                <w:i w:val="0"/>
                <w:iCs w:val="0"/>
                <w:color w:val="000000"/>
                <w:sz w:val="20"/>
                <w:szCs w:val="20"/>
                <w:u w:val="none"/>
              </w:rPr>
            </w:pPr>
          </w:p>
        </w:tc>
        <w:tc>
          <w:tcPr>
            <w:tcW w:w="114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BCD0379">
            <w:pPr>
              <w:jc w:val="center"/>
              <w:rPr>
                <w:rFonts w:hint="eastAsia" w:ascii="宋体" w:hAnsi="宋体" w:eastAsia="宋体" w:cs="宋体"/>
                <w:i w:val="0"/>
                <w:iCs w:val="0"/>
                <w:color w:val="000000"/>
                <w:sz w:val="20"/>
                <w:szCs w:val="20"/>
                <w:u w:val="none"/>
              </w:rPr>
            </w:pPr>
          </w:p>
        </w:tc>
        <w:tc>
          <w:tcPr>
            <w:tcW w:w="99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45A5D29">
            <w:pPr>
              <w:jc w:val="center"/>
              <w:rPr>
                <w:rFonts w:hint="eastAsia" w:ascii="宋体" w:hAnsi="宋体" w:eastAsia="宋体" w:cs="宋体"/>
                <w:i w:val="0"/>
                <w:iCs w:val="0"/>
                <w:color w:val="000000"/>
                <w:sz w:val="20"/>
                <w:szCs w:val="20"/>
                <w:u w:val="none"/>
              </w:rPr>
            </w:pPr>
          </w:p>
        </w:tc>
        <w:tc>
          <w:tcPr>
            <w:tcW w:w="13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7AB8DC">
            <w:pPr>
              <w:jc w:val="center"/>
              <w:rPr>
                <w:rFonts w:hint="eastAsia" w:ascii="宋体" w:hAnsi="宋体" w:eastAsia="宋体" w:cs="宋体"/>
                <w:i w:val="0"/>
                <w:iCs w:val="0"/>
                <w:color w:val="000000"/>
                <w:sz w:val="20"/>
                <w:szCs w:val="20"/>
                <w:u w:val="none"/>
              </w:rPr>
            </w:pPr>
          </w:p>
        </w:tc>
      </w:tr>
      <w:tr w14:paraId="50D5D0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7" w:hRule="atLeast"/>
        </w:trPr>
        <w:tc>
          <w:tcPr>
            <w:tcW w:w="55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26C53E7">
            <w:pPr>
              <w:jc w:val="center"/>
              <w:rPr>
                <w:rFonts w:hint="eastAsia" w:ascii="宋体" w:hAnsi="宋体" w:eastAsia="宋体" w:cs="宋体"/>
                <w:i w:val="0"/>
                <w:iCs w:val="0"/>
                <w:color w:val="000000"/>
                <w:sz w:val="20"/>
                <w:szCs w:val="20"/>
                <w:u w:val="none"/>
              </w:rPr>
            </w:pPr>
          </w:p>
        </w:tc>
        <w:tc>
          <w:tcPr>
            <w:tcW w:w="112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5C95F09">
            <w:pPr>
              <w:jc w:val="center"/>
              <w:rPr>
                <w:rFonts w:hint="eastAsia" w:ascii="宋体" w:hAnsi="宋体" w:eastAsia="宋体" w:cs="宋体"/>
                <w:i w:val="0"/>
                <w:iCs w:val="0"/>
                <w:color w:val="000000"/>
                <w:sz w:val="20"/>
                <w:szCs w:val="20"/>
                <w:u w:val="none"/>
              </w:rPr>
            </w:pPr>
          </w:p>
        </w:tc>
        <w:tc>
          <w:tcPr>
            <w:tcW w:w="9126" w:type="dxa"/>
            <w:vMerge w:val="continue"/>
            <w:tcBorders>
              <w:top w:val="single" w:color="000000" w:sz="4" w:space="0"/>
              <w:left w:val="single" w:color="000000" w:sz="4" w:space="0"/>
              <w:bottom w:val="single" w:color="000000" w:sz="4" w:space="0"/>
              <w:right w:val="single" w:color="000000" w:sz="4" w:space="0"/>
            </w:tcBorders>
            <w:shd w:val="clear" w:color="auto" w:fill="FFFFFF"/>
            <w:vAlign w:val="top"/>
          </w:tcPr>
          <w:p w14:paraId="46B2337C">
            <w:pPr>
              <w:jc w:val="left"/>
              <w:rPr>
                <w:rFonts w:hint="eastAsia" w:ascii="宋体" w:hAnsi="宋体" w:eastAsia="宋体" w:cs="宋体"/>
                <w:i w:val="0"/>
                <w:iCs w:val="0"/>
                <w:color w:val="000000"/>
                <w:sz w:val="20"/>
                <w:szCs w:val="20"/>
                <w:u w:val="none"/>
              </w:rPr>
            </w:pPr>
          </w:p>
        </w:tc>
        <w:tc>
          <w:tcPr>
            <w:tcW w:w="79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809DD0B">
            <w:pPr>
              <w:jc w:val="center"/>
              <w:rPr>
                <w:rFonts w:hint="eastAsia" w:ascii="宋体" w:hAnsi="宋体" w:eastAsia="宋体" w:cs="宋体"/>
                <w:i w:val="0"/>
                <w:iCs w:val="0"/>
                <w:color w:val="000000"/>
                <w:sz w:val="20"/>
                <w:szCs w:val="20"/>
                <w:u w:val="none"/>
              </w:rPr>
            </w:pPr>
          </w:p>
        </w:tc>
        <w:tc>
          <w:tcPr>
            <w:tcW w:w="114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69527E6">
            <w:pPr>
              <w:jc w:val="center"/>
              <w:rPr>
                <w:rFonts w:hint="eastAsia" w:ascii="宋体" w:hAnsi="宋体" w:eastAsia="宋体" w:cs="宋体"/>
                <w:i w:val="0"/>
                <w:iCs w:val="0"/>
                <w:color w:val="000000"/>
                <w:sz w:val="20"/>
                <w:szCs w:val="20"/>
                <w:u w:val="none"/>
              </w:rPr>
            </w:pPr>
          </w:p>
        </w:tc>
        <w:tc>
          <w:tcPr>
            <w:tcW w:w="99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39AD6B2">
            <w:pPr>
              <w:jc w:val="center"/>
              <w:rPr>
                <w:rFonts w:hint="eastAsia" w:ascii="宋体" w:hAnsi="宋体" w:eastAsia="宋体" w:cs="宋体"/>
                <w:i w:val="0"/>
                <w:iCs w:val="0"/>
                <w:color w:val="000000"/>
                <w:sz w:val="20"/>
                <w:szCs w:val="20"/>
                <w:u w:val="none"/>
              </w:rPr>
            </w:pPr>
          </w:p>
        </w:tc>
        <w:tc>
          <w:tcPr>
            <w:tcW w:w="13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493AE0">
            <w:pPr>
              <w:jc w:val="center"/>
              <w:rPr>
                <w:rFonts w:hint="eastAsia" w:ascii="宋体" w:hAnsi="宋体" w:eastAsia="宋体" w:cs="宋体"/>
                <w:i w:val="0"/>
                <w:iCs w:val="0"/>
                <w:color w:val="000000"/>
                <w:sz w:val="20"/>
                <w:szCs w:val="20"/>
                <w:u w:val="none"/>
              </w:rPr>
            </w:pPr>
          </w:p>
        </w:tc>
      </w:tr>
      <w:tr w14:paraId="41A917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3" w:hRule="atLeast"/>
        </w:trPr>
        <w:tc>
          <w:tcPr>
            <w:tcW w:w="13737" w:type="dxa"/>
            <w:gridSpan w:val="6"/>
            <w:tcBorders>
              <w:top w:val="single" w:color="000000" w:sz="4" w:space="0"/>
              <w:left w:val="single" w:color="000000" w:sz="4" w:space="0"/>
              <w:bottom w:val="single" w:color="000000" w:sz="4" w:space="0"/>
              <w:right w:val="single" w:color="000000" w:sz="4" w:space="0"/>
            </w:tcBorders>
            <w:shd w:val="clear" w:color="auto" w:fill="FFFFFF"/>
            <w:vAlign w:val="center"/>
          </w:tcPr>
          <w:p w14:paraId="64045D7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合计</w:t>
            </w:r>
          </w:p>
        </w:tc>
        <w:tc>
          <w:tcPr>
            <w:tcW w:w="13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D6062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p>
        </w:tc>
      </w:tr>
      <w:tr w14:paraId="2EAEE5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40" w:hRule="atLeast"/>
        </w:trPr>
        <w:tc>
          <w:tcPr>
            <w:tcW w:w="15080" w:type="dxa"/>
            <w:gridSpan w:val="7"/>
            <w:tcBorders>
              <w:top w:val="single" w:color="000000" w:sz="4" w:space="0"/>
              <w:left w:val="single" w:color="000000" w:sz="4" w:space="0"/>
              <w:bottom w:val="single" w:color="000000" w:sz="4" w:space="0"/>
              <w:right w:val="single" w:color="000000" w:sz="4" w:space="0"/>
            </w:tcBorders>
            <w:shd w:val="clear" w:color="auto" w:fill="auto"/>
            <w:vAlign w:val="top"/>
          </w:tcPr>
          <w:p w14:paraId="0F5C7B7A">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明：（1）投标报价是指按招标人提供的招标内容及技术要求并进行相关服务而涵盖的所有费用，包括投标人为完成招标文件（含投标报价表）确定的招标范围内的所有工作内容而涵盖的所有费用，即主要包括（但不限于）：人工服务酬金（包含人员工资、社会福利费、外勤等特殊津贴费、现场服务费等）、检验检测费用、维修费、仪器设备费用、3000元及以下的单个设备材料费、因非招标人原因导致的人身伤害赔偿、交通、通讯、人员及设备保险费、管理费、利润、规费（环境保护税除外）、税金等全部费用。同时还应充分考虑市场风险、国家政策性调整风险系数以及承担的义务、责任、风险等一切因素，并计入投标报价中。招标人有权终止工作或进行工作量变更，投标人不得追究任何责任及索要补偿。凡漏项或少计均视为优惠，招标人不另行增加费用。（2）本项目投标报价采用“固定全费用综合单价”报价方式，即将所有费用均摊销至各单价中。投标报价（各项服务的单价）作为结算的依据，在本项目中除双方另有约定外，其单价一律不得调整，数量按实结算。</w:t>
            </w:r>
          </w:p>
        </w:tc>
      </w:tr>
    </w:tbl>
    <w:p w14:paraId="694E2151">
      <w:pPr>
        <w:spacing w:line="360" w:lineRule="auto"/>
        <w:ind w:left="420" w:leftChars="200"/>
        <w:jc w:val="left"/>
        <w:rPr>
          <w:rFonts w:hint="eastAsia" w:ascii="宋体" w:hAnsi="宋体" w:eastAsia="宋体" w:cs="宋体"/>
          <w:color w:val="auto"/>
          <w:sz w:val="20"/>
          <w:szCs w:val="20"/>
          <w:highlight w:val="none"/>
        </w:rPr>
      </w:pPr>
    </w:p>
    <w:p w14:paraId="02F4229E">
      <w:pPr>
        <w:spacing w:line="360" w:lineRule="auto"/>
        <w:ind w:firstLine="5060" w:firstLineChars="2300"/>
        <w:jc w:val="left"/>
        <w:rPr>
          <w:rFonts w:hint="eastAsia" w:ascii="宋体" w:hAnsi="宋体" w:eastAsia="宋体" w:cs="宋体"/>
          <w:color w:val="auto"/>
          <w:sz w:val="22"/>
          <w:highlight w:val="none"/>
        </w:rPr>
      </w:pPr>
    </w:p>
    <w:p w14:paraId="24A42923">
      <w:pPr>
        <w:spacing w:line="360" w:lineRule="auto"/>
        <w:ind w:firstLine="9240" w:firstLineChars="44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投标人（盖章）：</w:t>
      </w:r>
    </w:p>
    <w:p w14:paraId="5A4B53AE">
      <w:pPr>
        <w:spacing w:line="360" w:lineRule="auto"/>
        <w:ind w:firstLine="8610" w:firstLineChars="41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法定代表人（签字或盖章）：</w:t>
      </w:r>
    </w:p>
    <w:p w14:paraId="4317E9A8">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w:t>
      </w:r>
      <w:r>
        <w:rPr>
          <w:rFonts w:hint="eastAsia" w:ascii="宋体" w:hAnsi="宋体" w:eastAsia="宋体" w:cs="宋体"/>
          <w:color w:val="auto"/>
          <w:szCs w:val="21"/>
          <w:highlight w:val="none"/>
          <w:lang w:val="en-US" w:eastAsia="zh-CN"/>
        </w:rPr>
        <w:t xml:space="preserve">                                                  </w:t>
      </w:r>
      <w:r>
        <w:rPr>
          <w:rFonts w:hint="eastAsia" w:ascii="宋体" w:hAnsi="宋体" w:eastAsia="宋体" w:cs="宋体"/>
          <w:color w:val="auto"/>
          <w:szCs w:val="21"/>
          <w:highlight w:val="none"/>
        </w:rPr>
        <w:t xml:space="preserve">  年  月  日</w:t>
      </w:r>
    </w:p>
    <w:p w14:paraId="1A1F9692">
      <w:pPr>
        <w:jc w:val="center"/>
        <w:rPr>
          <w:rFonts w:hint="eastAsia" w:ascii="宋体" w:hAnsi="宋体" w:eastAsia="宋体" w:cs="宋体"/>
          <w:b/>
          <w:bCs/>
          <w:color w:val="auto"/>
          <w:sz w:val="28"/>
          <w:szCs w:val="28"/>
          <w:highlight w:val="none"/>
        </w:rPr>
      </w:pPr>
      <w:r>
        <w:rPr>
          <w:rFonts w:hint="eastAsia" w:ascii="宋体" w:hAnsi="宋体" w:eastAsia="宋体" w:cs="宋体"/>
          <w:color w:val="auto"/>
          <w:szCs w:val="21"/>
          <w:highlight w:val="none"/>
        </w:rPr>
        <w:br w:type="page"/>
      </w:r>
      <w:r>
        <w:rPr>
          <w:rFonts w:hint="eastAsia" w:ascii="宋体" w:hAnsi="宋体" w:eastAsia="宋体" w:cs="宋体"/>
          <w:b/>
          <w:bCs/>
          <w:color w:val="auto"/>
          <w:sz w:val="28"/>
          <w:szCs w:val="28"/>
          <w:highlight w:val="none"/>
          <w:lang w:val="en-US" w:eastAsia="zh-CN"/>
        </w:rPr>
        <w:t>六</w:t>
      </w:r>
      <w:r>
        <w:rPr>
          <w:rFonts w:hint="eastAsia" w:ascii="宋体" w:hAnsi="宋体" w:eastAsia="宋体" w:cs="宋体"/>
          <w:b/>
          <w:bCs/>
          <w:color w:val="auto"/>
          <w:sz w:val="28"/>
          <w:szCs w:val="28"/>
          <w:highlight w:val="none"/>
          <w:lang w:eastAsia="zh-CN"/>
        </w:rPr>
        <w:t>、</w:t>
      </w:r>
      <w:r>
        <w:rPr>
          <w:rFonts w:hint="eastAsia" w:ascii="宋体" w:hAnsi="宋体" w:eastAsia="宋体" w:cs="宋体"/>
          <w:b/>
          <w:bCs/>
          <w:color w:val="auto"/>
          <w:sz w:val="28"/>
          <w:szCs w:val="28"/>
          <w:highlight w:val="none"/>
        </w:rPr>
        <w:t>其他材料（文件中要求提供的其它材料证明）</w:t>
      </w:r>
    </w:p>
    <w:p w14:paraId="55F67488">
      <w:pPr>
        <w:rPr>
          <w:rFonts w:hint="eastAsia" w:ascii="宋体" w:hAnsi="宋体" w:eastAsia="宋体" w:cs="宋体"/>
          <w:color w:val="auto"/>
          <w:highlight w:val="none"/>
        </w:rPr>
      </w:pPr>
      <w:r>
        <w:rPr>
          <w:rFonts w:hint="eastAsia" w:ascii="宋体" w:hAnsi="宋体" w:eastAsia="宋体" w:cs="宋体"/>
          <w:color w:val="auto"/>
          <w:highlight w:val="none"/>
        </w:rPr>
        <w:t xml:space="preserve"> </w:t>
      </w:r>
    </w:p>
    <w:p w14:paraId="5FC7F567">
      <w:pPr>
        <w:pStyle w:val="11"/>
        <w:ind w:left="0" w:leftChars="0" w:firstLine="480" w:firstLineChars="200"/>
        <w:rPr>
          <w:rFonts w:hint="eastAsia" w:ascii="宋体" w:hAnsi="宋体" w:eastAsia="宋体" w:cs="宋体"/>
          <w:color w:val="auto"/>
          <w:highlight w:val="none"/>
        </w:rPr>
      </w:pPr>
    </w:p>
    <w:sectPr>
      <w:headerReference r:id="rId5" w:type="default"/>
      <w:footerReference r:id="rId6" w:type="default"/>
      <w:pgSz w:w="16840" w:h="11905" w:orient="landscape"/>
      <w:pgMar w:top="1800" w:right="1440" w:bottom="1800" w:left="1440" w:header="720" w:footer="720" w:gutter="0"/>
      <w:pgNumType w:fmt="decimal"/>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50"/>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D83563">
    <w:pPr>
      <w:pStyle w:val="12"/>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483FEE">
    <w:pPr>
      <w:pStyle w:val="12"/>
      <w:rPr>
        <w:rFonts w:hint="eastAsia"/>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606C2E6">
                          <w:pPr>
                            <w:pStyle w:val="1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7606C2E6">
                    <w:pPr>
                      <w:pStyle w:val="12"/>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3E1632">
    <w:r>
      <w:rPr>
        <w:sz w:val="21"/>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B9DD820">
                          <w:pPr>
                            <w:pStyle w:val="12"/>
                          </w:pPr>
                          <w:r>
                            <w:fldChar w:fldCharType="begin"/>
                          </w:r>
                          <w:r>
                            <w:instrText xml:space="preserve"> PAGE  \* MERGEFORMAT </w:instrText>
                          </w:r>
                          <w:r>
                            <w:fldChar w:fldCharType="separate"/>
                          </w:r>
                          <w:r>
                            <w:t>73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0B9DD820">
                    <w:pPr>
                      <w:pStyle w:val="12"/>
                    </w:pPr>
                    <w:r>
                      <w:fldChar w:fldCharType="begin"/>
                    </w:r>
                    <w:r>
                      <w:instrText xml:space="preserve"> PAGE  \* MERGEFORMAT </w:instrText>
                    </w:r>
                    <w:r>
                      <w:fldChar w:fldCharType="separate"/>
                    </w:r>
                    <w:r>
                      <w:t>73</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4EFBCB"/>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13A4B87"/>
    <w:multiLevelType w:val="singleLevel"/>
    <w:tmpl w:val="813A4B87"/>
    <w:lvl w:ilvl="0" w:tentative="0">
      <w:start w:val="0"/>
      <w:numFmt w:val="bullet"/>
      <w:lvlText w:val="•"/>
      <w:lvlJc w:val="left"/>
      <w:rPr>
        <w:rFonts w:hint="default"/>
        <w:color w:val="auto"/>
      </w:rPr>
    </w:lvl>
  </w:abstractNum>
  <w:abstractNum w:abstractNumId="1">
    <w:nsid w:val="845B5372"/>
    <w:multiLevelType w:val="singleLevel"/>
    <w:tmpl w:val="845B5372"/>
    <w:lvl w:ilvl="0" w:tentative="0">
      <w:start w:val="0"/>
      <w:numFmt w:val="bullet"/>
      <w:lvlText w:val="•"/>
      <w:lvlJc w:val="left"/>
      <w:rPr>
        <w:rFonts w:hint="default"/>
        <w:color w:val="auto"/>
      </w:rPr>
    </w:lvl>
  </w:abstractNum>
  <w:abstractNum w:abstractNumId="2">
    <w:nsid w:val="8461FADE"/>
    <w:multiLevelType w:val="singleLevel"/>
    <w:tmpl w:val="8461FADE"/>
    <w:lvl w:ilvl="0" w:tentative="0">
      <w:start w:val="0"/>
      <w:numFmt w:val="bullet"/>
      <w:lvlText w:val="•"/>
      <w:lvlJc w:val="left"/>
      <w:rPr>
        <w:rFonts w:hint="default"/>
        <w:color w:val="auto"/>
      </w:rPr>
    </w:lvl>
  </w:abstractNum>
  <w:abstractNum w:abstractNumId="3">
    <w:nsid w:val="87D6FE7B"/>
    <w:multiLevelType w:val="singleLevel"/>
    <w:tmpl w:val="87D6FE7B"/>
    <w:lvl w:ilvl="0" w:tentative="0">
      <w:start w:val="1"/>
      <w:numFmt w:val="decimal"/>
      <w:lvlText w:val="1.3.%1"/>
      <w:lvlJc w:val="left"/>
      <w:pPr>
        <w:tabs>
          <w:tab w:val="left" w:pos="210"/>
        </w:tabs>
        <w:ind w:left="0" w:firstLine="480"/>
      </w:pPr>
      <w:rPr>
        <w:rFonts w:hint="default"/>
      </w:rPr>
    </w:lvl>
  </w:abstractNum>
  <w:abstractNum w:abstractNumId="4">
    <w:nsid w:val="88EF458B"/>
    <w:multiLevelType w:val="singleLevel"/>
    <w:tmpl w:val="88EF458B"/>
    <w:lvl w:ilvl="0" w:tentative="0">
      <w:start w:val="1"/>
      <w:numFmt w:val="decimal"/>
      <w:lvlText w:val="1.9.%1"/>
      <w:lvlJc w:val="left"/>
      <w:pPr>
        <w:tabs>
          <w:tab w:val="left" w:pos="210"/>
        </w:tabs>
        <w:ind w:left="0" w:firstLine="480"/>
      </w:pPr>
      <w:rPr>
        <w:rFonts w:hint="default"/>
      </w:rPr>
    </w:lvl>
  </w:abstractNum>
  <w:abstractNum w:abstractNumId="5">
    <w:nsid w:val="8B29E97E"/>
    <w:multiLevelType w:val="singleLevel"/>
    <w:tmpl w:val="8B29E97E"/>
    <w:lvl w:ilvl="0" w:tentative="0">
      <w:start w:val="1"/>
      <w:numFmt w:val="decimal"/>
      <w:suff w:val="nothing"/>
      <w:lvlText w:val="（%1）"/>
      <w:lvlJc w:val="left"/>
      <w:pPr>
        <w:ind w:left="0" w:firstLine="480"/>
      </w:pPr>
      <w:rPr>
        <w:rFonts w:hint="default"/>
      </w:rPr>
    </w:lvl>
  </w:abstractNum>
  <w:abstractNum w:abstractNumId="6">
    <w:nsid w:val="8CAEB125"/>
    <w:multiLevelType w:val="singleLevel"/>
    <w:tmpl w:val="8CAEB125"/>
    <w:lvl w:ilvl="0" w:tentative="0">
      <w:start w:val="0"/>
      <w:numFmt w:val="bullet"/>
      <w:lvlText w:val="•"/>
      <w:lvlJc w:val="left"/>
      <w:rPr>
        <w:rFonts w:hint="default"/>
        <w:color w:val="auto"/>
      </w:rPr>
    </w:lvl>
  </w:abstractNum>
  <w:abstractNum w:abstractNumId="7">
    <w:nsid w:val="8D9AF2EF"/>
    <w:multiLevelType w:val="singleLevel"/>
    <w:tmpl w:val="8D9AF2EF"/>
    <w:lvl w:ilvl="0" w:tentative="0">
      <w:start w:val="1"/>
      <w:numFmt w:val="decimal"/>
      <w:lvlText w:val="8.%1"/>
      <w:lvlJc w:val="left"/>
      <w:pPr>
        <w:tabs>
          <w:tab w:val="left" w:pos="210"/>
        </w:tabs>
        <w:ind w:left="0" w:firstLine="0"/>
      </w:pPr>
      <w:rPr>
        <w:rFonts w:hint="default"/>
      </w:rPr>
    </w:lvl>
  </w:abstractNum>
  <w:abstractNum w:abstractNumId="8">
    <w:nsid w:val="91995D4F"/>
    <w:multiLevelType w:val="singleLevel"/>
    <w:tmpl w:val="91995D4F"/>
    <w:lvl w:ilvl="0" w:tentative="0">
      <w:start w:val="0"/>
      <w:numFmt w:val="bullet"/>
      <w:lvlText w:val="•"/>
      <w:lvlJc w:val="left"/>
      <w:rPr>
        <w:rFonts w:hint="default"/>
        <w:color w:val="auto"/>
      </w:rPr>
    </w:lvl>
  </w:abstractNum>
  <w:abstractNum w:abstractNumId="9">
    <w:nsid w:val="923A6DBA"/>
    <w:multiLevelType w:val="singleLevel"/>
    <w:tmpl w:val="923A6DBA"/>
    <w:lvl w:ilvl="0" w:tentative="0">
      <w:start w:val="1"/>
      <w:numFmt w:val="decimal"/>
      <w:suff w:val="nothing"/>
      <w:lvlText w:val="（%1）"/>
      <w:lvlJc w:val="left"/>
      <w:pPr>
        <w:ind w:left="0" w:firstLine="480"/>
      </w:pPr>
      <w:rPr>
        <w:rFonts w:hint="default"/>
      </w:rPr>
    </w:lvl>
  </w:abstractNum>
  <w:abstractNum w:abstractNumId="10">
    <w:nsid w:val="92EB2D2F"/>
    <w:multiLevelType w:val="singleLevel"/>
    <w:tmpl w:val="92EB2D2F"/>
    <w:lvl w:ilvl="0" w:tentative="0">
      <w:start w:val="1"/>
      <w:numFmt w:val="decimal"/>
      <w:lvlText w:val="4.%1"/>
      <w:lvlJc w:val="left"/>
      <w:pPr>
        <w:tabs>
          <w:tab w:val="left" w:pos="210"/>
        </w:tabs>
        <w:ind w:left="0" w:firstLine="0"/>
      </w:pPr>
      <w:rPr>
        <w:rFonts w:hint="default"/>
      </w:rPr>
    </w:lvl>
  </w:abstractNum>
  <w:abstractNum w:abstractNumId="11">
    <w:nsid w:val="9758EE7E"/>
    <w:multiLevelType w:val="singleLevel"/>
    <w:tmpl w:val="9758EE7E"/>
    <w:lvl w:ilvl="0" w:tentative="0">
      <w:start w:val="1"/>
      <w:numFmt w:val="decimal"/>
      <w:lvlText w:val="%1."/>
      <w:lvlJc w:val="left"/>
      <w:pPr>
        <w:tabs>
          <w:tab w:val="left" w:pos="210"/>
        </w:tabs>
        <w:ind w:firstLine="480"/>
      </w:pPr>
      <w:rPr>
        <w:rFonts w:hint="default"/>
        <w:color w:val="auto"/>
      </w:rPr>
    </w:lvl>
  </w:abstractNum>
  <w:abstractNum w:abstractNumId="12">
    <w:nsid w:val="9B39BAF8"/>
    <w:multiLevelType w:val="singleLevel"/>
    <w:tmpl w:val="9B39BAF8"/>
    <w:lvl w:ilvl="0" w:tentative="0">
      <w:start w:val="1"/>
      <w:numFmt w:val="decimal"/>
      <w:lvlText w:val="3.6.%1"/>
      <w:lvlJc w:val="left"/>
      <w:pPr>
        <w:tabs>
          <w:tab w:val="left" w:pos="210"/>
        </w:tabs>
        <w:ind w:left="0" w:firstLine="480"/>
      </w:pPr>
      <w:rPr>
        <w:rFonts w:hint="default"/>
      </w:rPr>
    </w:lvl>
  </w:abstractNum>
  <w:abstractNum w:abstractNumId="13">
    <w:nsid w:val="9BDD77B0"/>
    <w:multiLevelType w:val="singleLevel"/>
    <w:tmpl w:val="9BDD77B0"/>
    <w:lvl w:ilvl="0" w:tentative="0">
      <w:start w:val="1"/>
      <w:numFmt w:val="decimal"/>
      <w:lvlText w:val="3.3.%1"/>
      <w:lvlJc w:val="left"/>
      <w:pPr>
        <w:tabs>
          <w:tab w:val="left" w:pos="210"/>
        </w:tabs>
        <w:ind w:left="0" w:firstLine="480"/>
      </w:pPr>
      <w:rPr>
        <w:rFonts w:hint="default"/>
      </w:rPr>
    </w:lvl>
  </w:abstractNum>
  <w:abstractNum w:abstractNumId="14">
    <w:nsid w:val="9C355A51"/>
    <w:multiLevelType w:val="singleLevel"/>
    <w:tmpl w:val="9C355A51"/>
    <w:lvl w:ilvl="0" w:tentative="0">
      <w:start w:val="1"/>
      <w:numFmt w:val="decimal"/>
      <w:lvlText w:val="2.3.%1"/>
      <w:lvlJc w:val="left"/>
      <w:pPr>
        <w:tabs>
          <w:tab w:val="left" w:pos="210"/>
        </w:tabs>
        <w:ind w:left="0" w:firstLine="480"/>
      </w:pPr>
      <w:rPr>
        <w:rFonts w:hint="default"/>
      </w:rPr>
    </w:lvl>
  </w:abstractNum>
  <w:abstractNum w:abstractNumId="15">
    <w:nsid w:val="9C8AC8EF"/>
    <w:multiLevelType w:val="singleLevel"/>
    <w:tmpl w:val="9C8AC8EF"/>
    <w:lvl w:ilvl="0" w:tentative="0">
      <w:start w:val="0"/>
      <w:numFmt w:val="bullet"/>
      <w:lvlText w:val="•"/>
      <w:lvlJc w:val="left"/>
      <w:rPr>
        <w:rFonts w:hint="default"/>
        <w:color w:val="auto"/>
      </w:rPr>
    </w:lvl>
  </w:abstractNum>
  <w:abstractNum w:abstractNumId="16">
    <w:nsid w:val="9E39C279"/>
    <w:multiLevelType w:val="singleLevel"/>
    <w:tmpl w:val="9E39C279"/>
    <w:lvl w:ilvl="0" w:tentative="0">
      <w:start w:val="1"/>
      <w:numFmt w:val="decimal"/>
      <w:lvlText w:val="1.1.%1"/>
      <w:lvlJc w:val="left"/>
      <w:pPr>
        <w:tabs>
          <w:tab w:val="left" w:pos="210"/>
        </w:tabs>
        <w:ind w:left="0" w:firstLine="480"/>
      </w:pPr>
      <w:rPr>
        <w:rFonts w:hint="default"/>
      </w:rPr>
    </w:lvl>
  </w:abstractNum>
  <w:abstractNum w:abstractNumId="17">
    <w:nsid w:val="9F726880"/>
    <w:multiLevelType w:val="singleLevel"/>
    <w:tmpl w:val="9F726880"/>
    <w:lvl w:ilvl="0" w:tentative="0">
      <w:start w:val="1"/>
      <w:numFmt w:val="chineseCounting"/>
      <w:suff w:val="nothing"/>
      <w:lvlText w:val="（%1）"/>
      <w:lvlJc w:val="left"/>
      <w:pPr>
        <w:ind w:left="0" w:firstLine="0"/>
      </w:pPr>
      <w:rPr>
        <w:rFonts w:hint="eastAsia"/>
      </w:rPr>
    </w:lvl>
  </w:abstractNum>
  <w:abstractNum w:abstractNumId="18">
    <w:nsid w:val="A0505224"/>
    <w:multiLevelType w:val="singleLevel"/>
    <w:tmpl w:val="A0505224"/>
    <w:lvl w:ilvl="0" w:tentative="0">
      <w:start w:val="1"/>
      <w:numFmt w:val="decimal"/>
      <w:lvlText w:val="4.2.%1"/>
      <w:lvlJc w:val="left"/>
      <w:pPr>
        <w:tabs>
          <w:tab w:val="left" w:pos="210"/>
        </w:tabs>
        <w:ind w:left="0" w:firstLine="480"/>
      </w:pPr>
      <w:rPr>
        <w:rFonts w:hint="default"/>
      </w:rPr>
    </w:lvl>
  </w:abstractNum>
  <w:abstractNum w:abstractNumId="19">
    <w:nsid w:val="A0C93552"/>
    <w:multiLevelType w:val="singleLevel"/>
    <w:tmpl w:val="A0C93552"/>
    <w:lvl w:ilvl="0" w:tentative="0">
      <w:start w:val="0"/>
      <w:numFmt w:val="bullet"/>
      <w:lvlText w:val="•"/>
      <w:lvlJc w:val="left"/>
      <w:rPr>
        <w:rFonts w:hint="default"/>
        <w:color w:val="auto"/>
      </w:rPr>
    </w:lvl>
  </w:abstractNum>
  <w:abstractNum w:abstractNumId="20">
    <w:nsid w:val="A0F05207"/>
    <w:multiLevelType w:val="singleLevel"/>
    <w:tmpl w:val="A0F05207"/>
    <w:lvl w:ilvl="0" w:tentative="0">
      <w:start w:val="0"/>
      <w:numFmt w:val="bullet"/>
      <w:lvlText w:val="•"/>
      <w:lvlJc w:val="left"/>
      <w:rPr>
        <w:rFonts w:hint="default"/>
        <w:color w:val="auto"/>
      </w:rPr>
    </w:lvl>
  </w:abstractNum>
  <w:abstractNum w:abstractNumId="21">
    <w:nsid w:val="A16D3545"/>
    <w:multiLevelType w:val="singleLevel"/>
    <w:tmpl w:val="A16D3545"/>
    <w:lvl w:ilvl="0" w:tentative="0">
      <w:start w:val="1"/>
      <w:numFmt w:val="decimal"/>
      <w:lvlText w:val="7.5.%1"/>
      <w:lvlJc w:val="left"/>
      <w:pPr>
        <w:tabs>
          <w:tab w:val="left" w:pos="210"/>
        </w:tabs>
        <w:ind w:left="0" w:firstLine="480"/>
      </w:pPr>
      <w:rPr>
        <w:rFonts w:hint="default"/>
      </w:rPr>
    </w:lvl>
  </w:abstractNum>
  <w:abstractNum w:abstractNumId="22">
    <w:nsid w:val="A6C22B39"/>
    <w:multiLevelType w:val="singleLevel"/>
    <w:tmpl w:val="A6C22B39"/>
    <w:lvl w:ilvl="0" w:tentative="0">
      <w:start w:val="1"/>
      <w:numFmt w:val="decimal"/>
      <w:lvlText w:val="6.6.%1"/>
      <w:lvlJc w:val="left"/>
      <w:pPr>
        <w:tabs>
          <w:tab w:val="left" w:pos="210"/>
        </w:tabs>
        <w:ind w:left="0" w:firstLine="480"/>
      </w:pPr>
      <w:rPr>
        <w:rFonts w:hint="default"/>
      </w:rPr>
    </w:lvl>
  </w:abstractNum>
  <w:abstractNum w:abstractNumId="23">
    <w:nsid w:val="A73D1E7C"/>
    <w:multiLevelType w:val="singleLevel"/>
    <w:tmpl w:val="A73D1E7C"/>
    <w:lvl w:ilvl="0" w:tentative="0">
      <w:start w:val="1"/>
      <w:numFmt w:val="decimal"/>
      <w:lvlText w:val="%1."/>
      <w:lvlJc w:val="left"/>
      <w:pPr>
        <w:tabs>
          <w:tab w:val="left" w:pos="210"/>
        </w:tabs>
        <w:ind w:left="0" w:firstLine="0"/>
      </w:pPr>
      <w:rPr>
        <w:rFonts w:hint="default"/>
      </w:rPr>
    </w:lvl>
  </w:abstractNum>
  <w:abstractNum w:abstractNumId="24">
    <w:nsid w:val="A777DA68"/>
    <w:multiLevelType w:val="singleLevel"/>
    <w:tmpl w:val="A777DA68"/>
    <w:lvl w:ilvl="0" w:tentative="0">
      <w:start w:val="1"/>
      <w:numFmt w:val="decimal"/>
      <w:lvlText w:val="3.%1"/>
      <w:lvlJc w:val="left"/>
      <w:pPr>
        <w:tabs>
          <w:tab w:val="left" w:pos="210"/>
        </w:tabs>
        <w:ind w:left="0" w:firstLine="0"/>
      </w:pPr>
      <w:rPr>
        <w:rFonts w:hint="default"/>
      </w:rPr>
    </w:lvl>
  </w:abstractNum>
  <w:abstractNum w:abstractNumId="25">
    <w:nsid w:val="A7E6B4BA"/>
    <w:multiLevelType w:val="singleLevel"/>
    <w:tmpl w:val="A7E6B4BA"/>
    <w:lvl w:ilvl="0" w:tentative="0">
      <w:start w:val="1"/>
      <w:numFmt w:val="decimal"/>
      <w:suff w:val="nothing"/>
      <w:lvlText w:val="%1）"/>
      <w:lvlJc w:val="left"/>
      <w:pPr>
        <w:ind w:left="0" w:firstLine="480"/>
      </w:pPr>
      <w:rPr>
        <w:rFonts w:hint="default"/>
      </w:rPr>
    </w:lvl>
  </w:abstractNum>
  <w:abstractNum w:abstractNumId="26">
    <w:nsid w:val="A8584BA0"/>
    <w:multiLevelType w:val="singleLevel"/>
    <w:tmpl w:val="A8584BA0"/>
    <w:lvl w:ilvl="0" w:tentative="0">
      <w:start w:val="1"/>
      <w:numFmt w:val="decimal"/>
      <w:suff w:val="nothing"/>
      <w:lvlText w:val="（%1）"/>
      <w:lvlJc w:val="left"/>
      <w:pPr>
        <w:ind w:left="0" w:firstLine="480"/>
      </w:pPr>
      <w:rPr>
        <w:rFonts w:hint="default"/>
      </w:rPr>
    </w:lvl>
  </w:abstractNum>
  <w:abstractNum w:abstractNumId="27">
    <w:nsid w:val="A9288467"/>
    <w:multiLevelType w:val="singleLevel"/>
    <w:tmpl w:val="A9288467"/>
    <w:lvl w:ilvl="0" w:tentative="0">
      <w:start w:val="1"/>
      <w:numFmt w:val="decimal"/>
      <w:lvlText w:val="7.%1"/>
      <w:lvlJc w:val="left"/>
      <w:pPr>
        <w:tabs>
          <w:tab w:val="left" w:pos="210"/>
        </w:tabs>
        <w:ind w:left="0" w:firstLine="0"/>
      </w:pPr>
      <w:rPr>
        <w:rFonts w:hint="default"/>
      </w:rPr>
    </w:lvl>
  </w:abstractNum>
  <w:abstractNum w:abstractNumId="28">
    <w:nsid w:val="B0F1ACD9"/>
    <w:multiLevelType w:val="singleLevel"/>
    <w:tmpl w:val="B0F1ACD9"/>
    <w:lvl w:ilvl="0" w:tentative="0">
      <w:start w:val="0"/>
      <w:numFmt w:val="bullet"/>
      <w:lvlText w:val="•"/>
      <w:lvlJc w:val="left"/>
      <w:rPr>
        <w:rFonts w:hint="default"/>
        <w:color w:val="auto"/>
      </w:rPr>
    </w:lvl>
  </w:abstractNum>
  <w:abstractNum w:abstractNumId="29">
    <w:nsid w:val="B23A94A9"/>
    <w:multiLevelType w:val="singleLevel"/>
    <w:tmpl w:val="B23A94A9"/>
    <w:lvl w:ilvl="0" w:tentative="0">
      <w:start w:val="0"/>
      <w:numFmt w:val="bullet"/>
      <w:lvlText w:val="•"/>
      <w:lvlJc w:val="left"/>
      <w:rPr>
        <w:rFonts w:hint="default"/>
        <w:color w:val="auto"/>
      </w:rPr>
    </w:lvl>
  </w:abstractNum>
  <w:abstractNum w:abstractNumId="30">
    <w:nsid w:val="B53C9FB2"/>
    <w:multiLevelType w:val="singleLevel"/>
    <w:tmpl w:val="B53C9FB2"/>
    <w:lvl w:ilvl="0" w:tentative="0">
      <w:start w:val="1"/>
      <w:numFmt w:val="decimal"/>
      <w:lvlText w:val="1.10.%1"/>
      <w:lvlJc w:val="left"/>
      <w:pPr>
        <w:tabs>
          <w:tab w:val="left" w:pos="210"/>
        </w:tabs>
        <w:ind w:left="0" w:firstLine="480"/>
      </w:pPr>
      <w:rPr>
        <w:rFonts w:hint="default"/>
      </w:rPr>
    </w:lvl>
  </w:abstractNum>
  <w:abstractNum w:abstractNumId="31">
    <w:nsid w:val="B53F3350"/>
    <w:multiLevelType w:val="singleLevel"/>
    <w:tmpl w:val="B53F3350"/>
    <w:lvl w:ilvl="0" w:tentative="0">
      <w:start w:val="0"/>
      <w:numFmt w:val="bullet"/>
      <w:lvlText w:val="•"/>
      <w:lvlJc w:val="left"/>
      <w:rPr>
        <w:rFonts w:hint="default"/>
        <w:color w:val="auto"/>
      </w:rPr>
    </w:lvl>
  </w:abstractNum>
  <w:abstractNum w:abstractNumId="32">
    <w:nsid w:val="B5D2E997"/>
    <w:multiLevelType w:val="singleLevel"/>
    <w:tmpl w:val="B5D2E997"/>
    <w:lvl w:ilvl="0" w:tentative="0">
      <w:start w:val="1"/>
      <w:numFmt w:val="decimal"/>
      <w:lvlText w:val="%1."/>
      <w:lvlJc w:val="left"/>
      <w:pPr>
        <w:tabs>
          <w:tab w:val="left" w:pos="210"/>
        </w:tabs>
        <w:ind w:firstLine="480"/>
      </w:pPr>
      <w:rPr>
        <w:rFonts w:hint="default"/>
        <w:color w:val="auto"/>
      </w:rPr>
    </w:lvl>
  </w:abstractNum>
  <w:abstractNum w:abstractNumId="33">
    <w:nsid w:val="B62124A1"/>
    <w:multiLevelType w:val="singleLevel"/>
    <w:tmpl w:val="B62124A1"/>
    <w:lvl w:ilvl="0" w:tentative="0">
      <w:start w:val="1"/>
      <w:numFmt w:val="decimal"/>
      <w:lvlText w:val="3.4.%1"/>
      <w:lvlJc w:val="left"/>
      <w:pPr>
        <w:tabs>
          <w:tab w:val="left" w:pos="210"/>
        </w:tabs>
        <w:ind w:left="0" w:firstLine="480"/>
      </w:pPr>
      <w:rPr>
        <w:rFonts w:hint="default"/>
      </w:rPr>
    </w:lvl>
  </w:abstractNum>
  <w:abstractNum w:abstractNumId="34">
    <w:nsid w:val="B6DF9AC1"/>
    <w:multiLevelType w:val="singleLevel"/>
    <w:tmpl w:val="B6DF9AC1"/>
    <w:lvl w:ilvl="0" w:tentative="0">
      <w:start w:val="1"/>
      <w:numFmt w:val="decimal"/>
      <w:suff w:val="nothing"/>
      <w:lvlText w:val="(%1）"/>
      <w:lvlJc w:val="left"/>
      <w:pPr>
        <w:ind w:left="0" w:firstLine="480"/>
      </w:pPr>
      <w:rPr>
        <w:rFonts w:hint="default"/>
      </w:rPr>
    </w:lvl>
  </w:abstractNum>
  <w:abstractNum w:abstractNumId="35">
    <w:nsid w:val="B70583E6"/>
    <w:multiLevelType w:val="singleLevel"/>
    <w:tmpl w:val="B70583E6"/>
    <w:lvl w:ilvl="0" w:tentative="0">
      <w:start w:val="1"/>
      <w:numFmt w:val="decimal"/>
      <w:suff w:val="nothing"/>
      <w:lvlText w:val="%1、"/>
      <w:lvlJc w:val="left"/>
      <w:pPr>
        <w:ind w:left="0" w:firstLine="480"/>
      </w:pPr>
      <w:rPr>
        <w:rFonts w:hint="default"/>
      </w:rPr>
    </w:lvl>
  </w:abstractNum>
  <w:abstractNum w:abstractNumId="36">
    <w:nsid w:val="B88D21A8"/>
    <w:multiLevelType w:val="singleLevel"/>
    <w:tmpl w:val="B88D21A8"/>
    <w:lvl w:ilvl="0" w:tentative="0">
      <w:start w:val="0"/>
      <w:numFmt w:val="bullet"/>
      <w:lvlText w:val="•"/>
      <w:lvlJc w:val="left"/>
      <w:rPr>
        <w:rFonts w:hint="default"/>
        <w:color w:val="auto"/>
      </w:rPr>
    </w:lvl>
  </w:abstractNum>
  <w:abstractNum w:abstractNumId="37">
    <w:nsid w:val="B8CEF35B"/>
    <w:multiLevelType w:val="singleLevel"/>
    <w:tmpl w:val="B8CEF35B"/>
    <w:lvl w:ilvl="0" w:tentative="0">
      <w:start w:val="0"/>
      <w:numFmt w:val="bullet"/>
      <w:lvlText w:val="•"/>
      <w:lvlJc w:val="left"/>
      <w:rPr>
        <w:rFonts w:hint="default"/>
        <w:color w:val="auto"/>
      </w:rPr>
    </w:lvl>
  </w:abstractNum>
  <w:abstractNum w:abstractNumId="38">
    <w:nsid w:val="BA97CA28"/>
    <w:multiLevelType w:val="singleLevel"/>
    <w:tmpl w:val="BA97CA28"/>
    <w:lvl w:ilvl="0" w:tentative="0">
      <w:start w:val="1"/>
      <w:numFmt w:val="decimal"/>
      <w:lvlText w:val="2.%1"/>
      <w:lvlJc w:val="left"/>
      <w:pPr>
        <w:tabs>
          <w:tab w:val="left" w:pos="210"/>
        </w:tabs>
        <w:ind w:left="0" w:firstLine="0"/>
      </w:pPr>
      <w:rPr>
        <w:rFonts w:hint="default"/>
      </w:rPr>
    </w:lvl>
  </w:abstractNum>
  <w:abstractNum w:abstractNumId="39">
    <w:nsid w:val="BB5BBCC5"/>
    <w:multiLevelType w:val="singleLevel"/>
    <w:tmpl w:val="BB5BBCC5"/>
    <w:lvl w:ilvl="0" w:tentative="0">
      <w:start w:val="1"/>
      <w:numFmt w:val="decimal"/>
      <w:lvlText w:val="2.1.%1"/>
      <w:lvlJc w:val="left"/>
      <w:pPr>
        <w:tabs>
          <w:tab w:val="left" w:pos="210"/>
        </w:tabs>
        <w:ind w:left="0" w:firstLine="480"/>
      </w:pPr>
      <w:rPr>
        <w:rFonts w:hint="default"/>
      </w:rPr>
    </w:lvl>
  </w:abstractNum>
  <w:abstractNum w:abstractNumId="40">
    <w:nsid w:val="BB64CFA9"/>
    <w:multiLevelType w:val="singleLevel"/>
    <w:tmpl w:val="BB64CFA9"/>
    <w:lvl w:ilvl="0" w:tentative="0">
      <w:start w:val="0"/>
      <w:numFmt w:val="bullet"/>
      <w:lvlText w:val="•"/>
      <w:lvlJc w:val="left"/>
      <w:rPr>
        <w:rFonts w:hint="default"/>
        <w:color w:val="auto"/>
      </w:rPr>
    </w:lvl>
  </w:abstractNum>
  <w:abstractNum w:abstractNumId="41">
    <w:nsid w:val="BD334D5A"/>
    <w:multiLevelType w:val="singleLevel"/>
    <w:tmpl w:val="BD334D5A"/>
    <w:lvl w:ilvl="0" w:tentative="0">
      <w:start w:val="1"/>
      <w:numFmt w:val="decimal"/>
      <w:lvlText w:val="4.3.%1"/>
      <w:lvlJc w:val="left"/>
      <w:pPr>
        <w:tabs>
          <w:tab w:val="left" w:pos="210"/>
        </w:tabs>
        <w:ind w:left="0" w:firstLine="480"/>
      </w:pPr>
      <w:rPr>
        <w:rFonts w:hint="default"/>
      </w:rPr>
    </w:lvl>
  </w:abstractNum>
  <w:abstractNum w:abstractNumId="42">
    <w:nsid w:val="BE923771"/>
    <w:multiLevelType w:val="singleLevel"/>
    <w:tmpl w:val="BE923771"/>
    <w:lvl w:ilvl="0" w:tentative="0">
      <w:start w:val="0"/>
      <w:numFmt w:val="bullet"/>
      <w:lvlText w:val="•"/>
      <w:lvlJc w:val="left"/>
      <w:rPr>
        <w:rFonts w:hint="default"/>
        <w:color w:val="auto"/>
      </w:rPr>
    </w:lvl>
  </w:abstractNum>
  <w:abstractNum w:abstractNumId="43">
    <w:nsid w:val="C0915F4F"/>
    <w:multiLevelType w:val="singleLevel"/>
    <w:tmpl w:val="C0915F4F"/>
    <w:lvl w:ilvl="0" w:tentative="0">
      <w:start w:val="0"/>
      <w:numFmt w:val="bullet"/>
      <w:lvlText w:val="•"/>
      <w:lvlJc w:val="left"/>
      <w:rPr>
        <w:rFonts w:hint="default"/>
        <w:color w:val="auto"/>
      </w:rPr>
    </w:lvl>
  </w:abstractNum>
  <w:abstractNum w:abstractNumId="44">
    <w:nsid w:val="C1CD3366"/>
    <w:multiLevelType w:val="singleLevel"/>
    <w:tmpl w:val="C1CD3366"/>
    <w:lvl w:ilvl="0" w:tentative="0">
      <w:start w:val="1"/>
      <w:numFmt w:val="decimal"/>
      <w:lvlText w:val="6.3.%1"/>
      <w:lvlJc w:val="left"/>
      <w:pPr>
        <w:tabs>
          <w:tab w:val="left" w:pos="210"/>
        </w:tabs>
        <w:ind w:left="0" w:firstLine="480"/>
      </w:pPr>
      <w:rPr>
        <w:rFonts w:hint="default"/>
      </w:rPr>
    </w:lvl>
  </w:abstractNum>
  <w:abstractNum w:abstractNumId="45">
    <w:nsid w:val="C214218B"/>
    <w:multiLevelType w:val="singleLevel"/>
    <w:tmpl w:val="C214218B"/>
    <w:lvl w:ilvl="0" w:tentative="0">
      <w:start w:val="1"/>
      <w:numFmt w:val="decimal"/>
      <w:suff w:val="nothing"/>
      <w:lvlText w:val="（%1）"/>
      <w:lvlJc w:val="left"/>
      <w:pPr>
        <w:ind w:left="0" w:firstLine="480"/>
      </w:pPr>
      <w:rPr>
        <w:rFonts w:hint="default"/>
      </w:rPr>
    </w:lvl>
  </w:abstractNum>
  <w:abstractNum w:abstractNumId="46">
    <w:nsid w:val="C4E0D24A"/>
    <w:multiLevelType w:val="singleLevel"/>
    <w:tmpl w:val="C4E0D24A"/>
    <w:lvl w:ilvl="0" w:tentative="0">
      <w:start w:val="0"/>
      <w:numFmt w:val="bullet"/>
      <w:lvlText w:val="•"/>
      <w:lvlJc w:val="left"/>
      <w:rPr>
        <w:rFonts w:hint="default"/>
        <w:color w:val="auto"/>
      </w:rPr>
    </w:lvl>
  </w:abstractNum>
  <w:abstractNum w:abstractNumId="47">
    <w:nsid w:val="C62F02F4"/>
    <w:multiLevelType w:val="singleLevel"/>
    <w:tmpl w:val="C62F02F4"/>
    <w:lvl w:ilvl="0" w:tentative="0">
      <w:start w:val="1"/>
      <w:numFmt w:val="decimal"/>
      <w:lvlText w:val="4.1.%1"/>
      <w:lvlJc w:val="left"/>
      <w:pPr>
        <w:tabs>
          <w:tab w:val="left" w:pos="210"/>
        </w:tabs>
        <w:ind w:left="0" w:firstLine="480"/>
      </w:pPr>
      <w:rPr>
        <w:rFonts w:hint="default"/>
      </w:rPr>
    </w:lvl>
  </w:abstractNum>
  <w:abstractNum w:abstractNumId="48">
    <w:nsid w:val="C979C6BD"/>
    <w:multiLevelType w:val="singleLevel"/>
    <w:tmpl w:val="C979C6BD"/>
    <w:lvl w:ilvl="0" w:tentative="0">
      <w:start w:val="1"/>
      <w:numFmt w:val="decimal"/>
      <w:lvlText w:val="%1."/>
      <w:lvlJc w:val="left"/>
      <w:pPr>
        <w:tabs>
          <w:tab w:val="left" w:pos="210"/>
        </w:tabs>
        <w:ind w:firstLine="480"/>
      </w:pPr>
      <w:rPr>
        <w:rFonts w:hint="default"/>
        <w:color w:val="auto"/>
      </w:rPr>
    </w:lvl>
  </w:abstractNum>
  <w:abstractNum w:abstractNumId="49">
    <w:nsid w:val="CFB8E929"/>
    <w:multiLevelType w:val="singleLevel"/>
    <w:tmpl w:val="CFB8E929"/>
    <w:lvl w:ilvl="0" w:tentative="0">
      <w:start w:val="1"/>
      <w:numFmt w:val="decimal"/>
      <w:lvlText w:val="9.1.%1"/>
      <w:lvlJc w:val="left"/>
      <w:pPr>
        <w:tabs>
          <w:tab w:val="left" w:pos="210"/>
        </w:tabs>
        <w:ind w:left="0" w:firstLine="480"/>
      </w:pPr>
      <w:rPr>
        <w:rFonts w:hint="default"/>
      </w:rPr>
    </w:lvl>
  </w:abstractNum>
  <w:abstractNum w:abstractNumId="50">
    <w:nsid w:val="D173A419"/>
    <w:multiLevelType w:val="singleLevel"/>
    <w:tmpl w:val="D173A419"/>
    <w:lvl w:ilvl="0" w:tentative="0">
      <w:start w:val="1"/>
      <w:numFmt w:val="decimal"/>
      <w:suff w:val="nothing"/>
      <w:lvlText w:val="（%1）"/>
      <w:lvlJc w:val="left"/>
      <w:pPr>
        <w:ind w:left="0" w:firstLine="480"/>
      </w:pPr>
      <w:rPr>
        <w:rFonts w:hint="default"/>
      </w:rPr>
    </w:lvl>
  </w:abstractNum>
  <w:abstractNum w:abstractNumId="51">
    <w:nsid w:val="D5576417"/>
    <w:multiLevelType w:val="singleLevel"/>
    <w:tmpl w:val="D5576417"/>
    <w:lvl w:ilvl="0" w:tentative="0">
      <w:start w:val="1"/>
      <w:numFmt w:val="decimal"/>
      <w:lvlText w:val="2.%1"/>
      <w:lvlJc w:val="left"/>
      <w:pPr>
        <w:tabs>
          <w:tab w:val="left" w:pos="210"/>
        </w:tabs>
        <w:ind w:left="0" w:firstLine="0"/>
      </w:pPr>
      <w:rPr>
        <w:rFonts w:hint="default"/>
      </w:rPr>
    </w:lvl>
  </w:abstractNum>
  <w:abstractNum w:abstractNumId="52">
    <w:nsid w:val="D7D140E4"/>
    <w:multiLevelType w:val="singleLevel"/>
    <w:tmpl w:val="D7D140E4"/>
    <w:lvl w:ilvl="0" w:tentative="0">
      <w:start w:val="0"/>
      <w:numFmt w:val="bullet"/>
      <w:lvlText w:val="•"/>
      <w:lvlJc w:val="left"/>
      <w:rPr>
        <w:rFonts w:hint="default"/>
        <w:color w:val="auto"/>
      </w:rPr>
    </w:lvl>
  </w:abstractNum>
  <w:abstractNum w:abstractNumId="53">
    <w:nsid w:val="D7F9FE59"/>
    <w:multiLevelType w:val="singleLevel"/>
    <w:tmpl w:val="D7F9FE59"/>
    <w:lvl w:ilvl="0" w:tentative="0">
      <w:start w:val="0"/>
      <w:numFmt w:val="bullet"/>
      <w:lvlText w:val="•"/>
      <w:lvlJc w:val="left"/>
      <w:rPr>
        <w:rFonts w:hint="default"/>
        <w:color w:val="auto"/>
      </w:rPr>
    </w:lvl>
  </w:abstractNum>
  <w:abstractNum w:abstractNumId="54">
    <w:nsid w:val="D822D372"/>
    <w:multiLevelType w:val="singleLevel"/>
    <w:tmpl w:val="D822D372"/>
    <w:lvl w:ilvl="0" w:tentative="0">
      <w:start w:val="1"/>
      <w:numFmt w:val="decimal"/>
      <w:lvlText w:val="6.%1"/>
      <w:lvlJc w:val="left"/>
      <w:pPr>
        <w:tabs>
          <w:tab w:val="left" w:pos="210"/>
        </w:tabs>
        <w:ind w:left="0" w:firstLine="0"/>
      </w:pPr>
      <w:rPr>
        <w:rFonts w:hint="default"/>
      </w:rPr>
    </w:lvl>
  </w:abstractNum>
  <w:abstractNum w:abstractNumId="55">
    <w:nsid w:val="D9ABDC10"/>
    <w:multiLevelType w:val="singleLevel"/>
    <w:tmpl w:val="D9ABDC10"/>
    <w:lvl w:ilvl="0" w:tentative="0">
      <w:start w:val="1"/>
      <w:numFmt w:val="decimal"/>
      <w:lvlText w:val="%1."/>
      <w:lvlJc w:val="left"/>
      <w:pPr>
        <w:tabs>
          <w:tab w:val="left" w:pos="210"/>
        </w:tabs>
        <w:ind w:firstLine="480"/>
      </w:pPr>
      <w:rPr>
        <w:rFonts w:hint="default"/>
        <w:color w:val="auto"/>
      </w:rPr>
    </w:lvl>
  </w:abstractNum>
  <w:abstractNum w:abstractNumId="56">
    <w:nsid w:val="DAD3A854"/>
    <w:multiLevelType w:val="singleLevel"/>
    <w:tmpl w:val="DAD3A854"/>
    <w:lvl w:ilvl="0" w:tentative="0">
      <w:start w:val="0"/>
      <w:numFmt w:val="bullet"/>
      <w:lvlText w:val="•"/>
      <w:lvlJc w:val="left"/>
      <w:rPr>
        <w:rFonts w:hint="default"/>
        <w:color w:val="auto"/>
      </w:rPr>
    </w:lvl>
  </w:abstractNum>
  <w:abstractNum w:abstractNumId="57">
    <w:nsid w:val="DCBA6B53"/>
    <w:multiLevelType w:val="singleLevel"/>
    <w:tmpl w:val="DCBA6B53"/>
    <w:lvl w:ilvl="0" w:tentative="0">
      <w:start w:val="0"/>
      <w:numFmt w:val="bullet"/>
      <w:lvlText w:val="•"/>
      <w:lvlJc w:val="left"/>
      <w:rPr>
        <w:rFonts w:hint="default"/>
        <w:color w:val="auto"/>
      </w:rPr>
    </w:lvl>
  </w:abstractNum>
  <w:abstractNum w:abstractNumId="58">
    <w:nsid w:val="DD9CF646"/>
    <w:multiLevelType w:val="singleLevel"/>
    <w:tmpl w:val="DD9CF646"/>
    <w:lvl w:ilvl="0" w:tentative="0">
      <w:start w:val="1"/>
      <w:numFmt w:val="decimal"/>
      <w:suff w:val="nothing"/>
      <w:lvlText w:val="%1、"/>
      <w:lvlJc w:val="left"/>
      <w:pPr>
        <w:ind w:left="0" w:firstLine="480"/>
      </w:pPr>
      <w:rPr>
        <w:rFonts w:hint="default"/>
      </w:rPr>
    </w:lvl>
  </w:abstractNum>
  <w:abstractNum w:abstractNumId="59">
    <w:nsid w:val="DE346081"/>
    <w:multiLevelType w:val="singleLevel"/>
    <w:tmpl w:val="DE346081"/>
    <w:lvl w:ilvl="0" w:tentative="0">
      <w:start w:val="1"/>
      <w:numFmt w:val="decimal"/>
      <w:suff w:val="nothing"/>
      <w:lvlText w:val="（%1）"/>
      <w:lvlJc w:val="left"/>
      <w:pPr>
        <w:ind w:left="0" w:firstLine="480"/>
      </w:pPr>
      <w:rPr>
        <w:rFonts w:hint="default"/>
      </w:rPr>
    </w:lvl>
  </w:abstractNum>
  <w:abstractNum w:abstractNumId="60">
    <w:nsid w:val="E093A4B0"/>
    <w:multiLevelType w:val="singleLevel"/>
    <w:tmpl w:val="E093A4B0"/>
    <w:lvl w:ilvl="0" w:tentative="0">
      <w:start w:val="0"/>
      <w:numFmt w:val="bullet"/>
      <w:lvlText w:val="•"/>
      <w:lvlJc w:val="left"/>
      <w:rPr>
        <w:rFonts w:hint="default"/>
        <w:color w:val="auto"/>
      </w:rPr>
    </w:lvl>
  </w:abstractNum>
  <w:abstractNum w:abstractNumId="61">
    <w:nsid w:val="E16992EC"/>
    <w:multiLevelType w:val="singleLevel"/>
    <w:tmpl w:val="E16992EC"/>
    <w:lvl w:ilvl="0" w:tentative="0">
      <w:start w:val="1"/>
      <w:numFmt w:val="decimal"/>
      <w:lvlText w:val="%1."/>
      <w:lvlJc w:val="left"/>
      <w:pPr>
        <w:tabs>
          <w:tab w:val="left" w:pos="210"/>
        </w:tabs>
        <w:ind w:firstLine="480"/>
      </w:pPr>
      <w:rPr>
        <w:rFonts w:hint="default"/>
        <w:color w:val="auto"/>
      </w:rPr>
    </w:lvl>
  </w:abstractNum>
  <w:abstractNum w:abstractNumId="62">
    <w:nsid w:val="E504947C"/>
    <w:multiLevelType w:val="singleLevel"/>
    <w:tmpl w:val="E504947C"/>
    <w:lvl w:ilvl="0" w:tentative="0">
      <w:start w:val="0"/>
      <w:numFmt w:val="bullet"/>
      <w:lvlText w:val="•"/>
      <w:lvlJc w:val="left"/>
      <w:rPr>
        <w:rFonts w:hint="default"/>
        <w:color w:val="auto"/>
      </w:rPr>
    </w:lvl>
  </w:abstractNum>
  <w:abstractNum w:abstractNumId="63">
    <w:nsid w:val="E53F546D"/>
    <w:multiLevelType w:val="singleLevel"/>
    <w:tmpl w:val="E53F546D"/>
    <w:lvl w:ilvl="0" w:tentative="0">
      <w:start w:val="1"/>
      <w:numFmt w:val="chineseCounting"/>
      <w:suff w:val="nothing"/>
      <w:lvlText w:val="（%1）"/>
      <w:lvlJc w:val="left"/>
      <w:pPr>
        <w:ind w:left="0" w:firstLine="480"/>
      </w:pPr>
      <w:rPr>
        <w:rFonts w:hint="eastAsia"/>
      </w:rPr>
    </w:lvl>
  </w:abstractNum>
  <w:abstractNum w:abstractNumId="64">
    <w:nsid w:val="E69A7D6D"/>
    <w:multiLevelType w:val="singleLevel"/>
    <w:tmpl w:val="E69A7D6D"/>
    <w:lvl w:ilvl="0" w:tentative="0">
      <w:start w:val="1"/>
      <w:numFmt w:val="decimal"/>
      <w:lvlText w:val="4.%1"/>
      <w:lvlJc w:val="left"/>
      <w:pPr>
        <w:tabs>
          <w:tab w:val="left" w:pos="210"/>
        </w:tabs>
        <w:ind w:left="0" w:firstLine="0"/>
      </w:pPr>
      <w:rPr>
        <w:rFonts w:hint="default"/>
      </w:rPr>
    </w:lvl>
  </w:abstractNum>
  <w:abstractNum w:abstractNumId="65">
    <w:nsid w:val="E7B27C5B"/>
    <w:multiLevelType w:val="singleLevel"/>
    <w:tmpl w:val="E7B27C5B"/>
    <w:lvl w:ilvl="0" w:tentative="0">
      <w:start w:val="0"/>
      <w:numFmt w:val="bullet"/>
      <w:lvlText w:val="•"/>
      <w:lvlJc w:val="left"/>
      <w:rPr>
        <w:rFonts w:hint="default"/>
        <w:color w:val="auto"/>
      </w:rPr>
    </w:lvl>
  </w:abstractNum>
  <w:abstractNum w:abstractNumId="66">
    <w:nsid w:val="E918ABB4"/>
    <w:multiLevelType w:val="singleLevel"/>
    <w:tmpl w:val="E918ABB4"/>
    <w:lvl w:ilvl="0" w:tentative="0">
      <w:start w:val="1"/>
      <w:numFmt w:val="chineseCounting"/>
      <w:suff w:val="nothing"/>
      <w:lvlText w:val="%1、"/>
      <w:lvlJc w:val="left"/>
      <w:pPr>
        <w:ind w:left="0" w:firstLine="482"/>
      </w:pPr>
      <w:rPr>
        <w:rFonts w:hint="eastAsia"/>
      </w:rPr>
    </w:lvl>
  </w:abstractNum>
  <w:abstractNum w:abstractNumId="67">
    <w:nsid w:val="EAAFF207"/>
    <w:multiLevelType w:val="singleLevel"/>
    <w:tmpl w:val="EAAFF207"/>
    <w:lvl w:ilvl="0" w:tentative="0">
      <w:start w:val="1"/>
      <w:numFmt w:val="decimal"/>
      <w:lvlText w:val="1.2.%1"/>
      <w:lvlJc w:val="left"/>
      <w:pPr>
        <w:tabs>
          <w:tab w:val="left" w:pos="210"/>
        </w:tabs>
        <w:ind w:left="0" w:firstLine="480"/>
      </w:pPr>
      <w:rPr>
        <w:rFonts w:hint="default"/>
      </w:rPr>
    </w:lvl>
  </w:abstractNum>
  <w:abstractNum w:abstractNumId="68">
    <w:nsid w:val="EC165100"/>
    <w:multiLevelType w:val="singleLevel"/>
    <w:tmpl w:val="EC165100"/>
    <w:lvl w:ilvl="0" w:tentative="0">
      <w:start w:val="1"/>
      <w:numFmt w:val="decimal"/>
      <w:suff w:val="nothing"/>
      <w:lvlText w:val="（%1）"/>
      <w:lvlJc w:val="left"/>
      <w:pPr>
        <w:ind w:left="0" w:firstLine="480"/>
      </w:pPr>
      <w:rPr>
        <w:rFonts w:hint="default"/>
      </w:rPr>
    </w:lvl>
  </w:abstractNum>
  <w:abstractNum w:abstractNumId="69">
    <w:nsid w:val="EE3245A8"/>
    <w:multiLevelType w:val="singleLevel"/>
    <w:tmpl w:val="EE3245A8"/>
    <w:lvl w:ilvl="0" w:tentative="0">
      <w:start w:val="1"/>
      <w:numFmt w:val="decimal"/>
      <w:lvlText w:val="1.4.%1"/>
      <w:lvlJc w:val="left"/>
      <w:pPr>
        <w:tabs>
          <w:tab w:val="left" w:pos="210"/>
        </w:tabs>
        <w:ind w:left="0" w:firstLine="480"/>
      </w:pPr>
      <w:rPr>
        <w:rFonts w:hint="default"/>
      </w:rPr>
    </w:lvl>
  </w:abstractNum>
  <w:abstractNum w:abstractNumId="70">
    <w:nsid w:val="EF0E2E0E"/>
    <w:multiLevelType w:val="singleLevel"/>
    <w:tmpl w:val="EF0E2E0E"/>
    <w:lvl w:ilvl="0" w:tentative="0">
      <w:start w:val="1"/>
      <w:numFmt w:val="decimal"/>
      <w:lvlText w:val="3.2.%1"/>
      <w:lvlJc w:val="left"/>
      <w:pPr>
        <w:tabs>
          <w:tab w:val="left" w:pos="210"/>
        </w:tabs>
        <w:ind w:left="0" w:firstLine="480"/>
      </w:pPr>
      <w:rPr>
        <w:rFonts w:hint="default"/>
      </w:rPr>
    </w:lvl>
  </w:abstractNum>
  <w:abstractNum w:abstractNumId="71">
    <w:nsid w:val="F0E89278"/>
    <w:multiLevelType w:val="singleLevel"/>
    <w:tmpl w:val="F0E89278"/>
    <w:lvl w:ilvl="0" w:tentative="0">
      <w:start w:val="0"/>
      <w:numFmt w:val="bullet"/>
      <w:lvlText w:val="•"/>
      <w:lvlJc w:val="left"/>
      <w:rPr>
        <w:rFonts w:hint="default"/>
        <w:color w:val="auto"/>
      </w:rPr>
    </w:lvl>
  </w:abstractNum>
  <w:abstractNum w:abstractNumId="72">
    <w:nsid w:val="F3F13E7E"/>
    <w:multiLevelType w:val="singleLevel"/>
    <w:tmpl w:val="F3F13E7E"/>
    <w:lvl w:ilvl="0" w:tentative="0">
      <w:start w:val="1"/>
      <w:numFmt w:val="decimal"/>
      <w:suff w:val="nothing"/>
      <w:lvlText w:val="%1、"/>
      <w:lvlJc w:val="left"/>
      <w:pPr>
        <w:ind w:left="0" w:firstLine="480"/>
      </w:pPr>
      <w:rPr>
        <w:rFonts w:hint="default"/>
      </w:rPr>
    </w:lvl>
  </w:abstractNum>
  <w:abstractNum w:abstractNumId="73">
    <w:nsid w:val="F7735DC9"/>
    <w:multiLevelType w:val="singleLevel"/>
    <w:tmpl w:val="F7735DC9"/>
    <w:lvl w:ilvl="0" w:tentative="0">
      <w:start w:val="0"/>
      <w:numFmt w:val="bullet"/>
      <w:lvlText w:val="•"/>
      <w:lvlJc w:val="left"/>
      <w:rPr>
        <w:rFonts w:hint="default"/>
        <w:color w:val="auto"/>
      </w:rPr>
    </w:lvl>
  </w:abstractNum>
  <w:abstractNum w:abstractNumId="74">
    <w:nsid w:val="FB2BAA60"/>
    <w:multiLevelType w:val="singleLevel"/>
    <w:tmpl w:val="FB2BAA60"/>
    <w:lvl w:ilvl="0" w:tentative="0">
      <w:start w:val="1"/>
      <w:numFmt w:val="chineseCounting"/>
      <w:lvlText w:val="(%1)"/>
      <w:lvlJc w:val="left"/>
      <w:pPr>
        <w:tabs>
          <w:tab w:val="left" w:pos="210"/>
        </w:tabs>
        <w:ind w:left="0" w:firstLine="480"/>
      </w:pPr>
      <w:rPr>
        <w:rFonts w:hint="eastAsia"/>
      </w:rPr>
    </w:lvl>
  </w:abstractNum>
  <w:abstractNum w:abstractNumId="75">
    <w:nsid w:val="FB385ACF"/>
    <w:multiLevelType w:val="singleLevel"/>
    <w:tmpl w:val="FB385ACF"/>
    <w:lvl w:ilvl="0" w:tentative="0">
      <w:start w:val="1"/>
      <w:numFmt w:val="decimal"/>
      <w:lvlText w:val="%1."/>
      <w:lvlJc w:val="left"/>
      <w:pPr>
        <w:tabs>
          <w:tab w:val="left" w:pos="210"/>
        </w:tabs>
        <w:ind w:firstLine="480"/>
      </w:pPr>
      <w:rPr>
        <w:rFonts w:hint="default"/>
        <w:color w:val="auto"/>
      </w:rPr>
    </w:lvl>
  </w:abstractNum>
  <w:abstractNum w:abstractNumId="76">
    <w:nsid w:val="FEC2EA36"/>
    <w:multiLevelType w:val="singleLevel"/>
    <w:tmpl w:val="FEC2EA36"/>
    <w:lvl w:ilvl="0" w:tentative="0">
      <w:start w:val="0"/>
      <w:numFmt w:val="bullet"/>
      <w:lvlText w:val="•"/>
      <w:lvlJc w:val="left"/>
      <w:rPr>
        <w:rFonts w:hint="default"/>
        <w:color w:val="auto"/>
      </w:rPr>
    </w:lvl>
  </w:abstractNum>
  <w:abstractNum w:abstractNumId="77">
    <w:nsid w:val="FFFC5BE3"/>
    <w:multiLevelType w:val="singleLevel"/>
    <w:tmpl w:val="FFFC5BE3"/>
    <w:lvl w:ilvl="0" w:tentative="0">
      <w:start w:val="1"/>
      <w:numFmt w:val="decimal"/>
      <w:lvlText w:val="3.%1"/>
      <w:lvlJc w:val="left"/>
      <w:pPr>
        <w:tabs>
          <w:tab w:val="left" w:pos="210"/>
        </w:tabs>
        <w:ind w:left="0" w:firstLine="0"/>
      </w:pPr>
      <w:rPr>
        <w:rFonts w:hint="default"/>
      </w:rPr>
    </w:lvl>
  </w:abstractNum>
  <w:abstractNum w:abstractNumId="78">
    <w:nsid w:val="02F08BEE"/>
    <w:multiLevelType w:val="singleLevel"/>
    <w:tmpl w:val="02F08BEE"/>
    <w:lvl w:ilvl="0" w:tentative="0">
      <w:start w:val="1"/>
      <w:numFmt w:val="decimal"/>
      <w:lvlText w:val="1.%1"/>
      <w:lvlJc w:val="left"/>
      <w:pPr>
        <w:tabs>
          <w:tab w:val="left" w:pos="210"/>
        </w:tabs>
        <w:ind w:left="0" w:firstLine="0"/>
      </w:pPr>
      <w:rPr>
        <w:rFonts w:hint="default"/>
      </w:rPr>
    </w:lvl>
  </w:abstractNum>
  <w:abstractNum w:abstractNumId="79">
    <w:nsid w:val="03A63A41"/>
    <w:multiLevelType w:val="singleLevel"/>
    <w:tmpl w:val="03A63A41"/>
    <w:lvl w:ilvl="0" w:tentative="0">
      <w:start w:val="0"/>
      <w:numFmt w:val="bullet"/>
      <w:lvlText w:val="•"/>
      <w:lvlJc w:val="left"/>
      <w:rPr>
        <w:rFonts w:hint="default"/>
        <w:color w:val="auto"/>
      </w:rPr>
    </w:lvl>
  </w:abstractNum>
  <w:abstractNum w:abstractNumId="80">
    <w:nsid w:val="0709FD3E"/>
    <w:multiLevelType w:val="singleLevel"/>
    <w:tmpl w:val="0709FD3E"/>
    <w:lvl w:ilvl="0" w:tentative="0">
      <w:start w:val="0"/>
      <w:numFmt w:val="bullet"/>
      <w:lvlText w:val="•"/>
      <w:lvlJc w:val="left"/>
      <w:rPr>
        <w:rFonts w:hint="default"/>
        <w:color w:val="auto"/>
      </w:rPr>
    </w:lvl>
  </w:abstractNum>
  <w:abstractNum w:abstractNumId="81">
    <w:nsid w:val="089045E8"/>
    <w:multiLevelType w:val="singleLevel"/>
    <w:tmpl w:val="089045E8"/>
    <w:lvl w:ilvl="0" w:tentative="0">
      <w:start w:val="1"/>
      <w:numFmt w:val="chineseCounting"/>
      <w:suff w:val="nothing"/>
      <w:lvlText w:val="（%1）"/>
      <w:lvlJc w:val="left"/>
      <w:pPr>
        <w:ind w:left="0" w:firstLine="480"/>
      </w:pPr>
      <w:rPr>
        <w:rFonts w:hint="eastAsia"/>
      </w:rPr>
    </w:lvl>
  </w:abstractNum>
  <w:abstractNum w:abstractNumId="82">
    <w:nsid w:val="0AD09B3F"/>
    <w:multiLevelType w:val="singleLevel"/>
    <w:tmpl w:val="0AD09B3F"/>
    <w:lvl w:ilvl="0" w:tentative="0">
      <w:start w:val="1"/>
      <w:numFmt w:val="decimal"/>
      <w:suff w:val="nothing"/>
      <w:lvlText w:val="%1、"/>
      <w:lvlJc w:val="left"/>
      <w:pPr>
        <w:ind w:left="0" w:firstLine="0"/>
      </w:pPr>
      <w:rPr>
        <w:rFonts w:hint="default"/>
      </w:rPr>
    </w:lvl>
  </w:abstractNum>
  <w:abstractNum w:abstractNumId="83">
    <w:nsid w:val="0BD89BE2"/>
    <w:multiLevelType w:val="singleLevel"/>
    <w:tmpl w:val="0BD89BE2"/>
    <w:lvl w:ilvl="0" w:tentative="0">
      <w:start w:val="1"/>
      <w:numFmt w:val="decimal"/>
      <w:lvlText w:val="3.2.%1"/>
      <w:lvlJc w:val="left"/>
      <w:pPr>
        <w:tabs>
          <w:tab w:val="left" w:pos="210"/>
        </w:tabs>
        <w:ind w:left="0" w:firstLine="480"/>
      </w:pPr>
      <w:rPr>
        <w:rFonts w:hint="default"/>
      </w:rPr>
    </w:lvl>
  </w:abstractNum>
  <w:abstractNum w:abstractNumId="84">
    <w:nsid w:val="0CEF100B"/>
    <w:multiLevelType w:val="singleLevel"/>
    <w:tmpl w:val="0CEF100B"/>
    <w:lvl w:ilvl="0" w:tentative="0">
      <w:start w:val="0"/>
      <w:numFmt w:val="bullet"/>
      <w:lvlText w:val="•"/>
      <w:lvlJc w:val="left"/>
      <w:rPr>
        <w:rFonts w:hint="default"/>
        <w:color w:val="auto"/>
      </w:rPr>
    </w:lvl>
  </w:abstractNum>
  <w:abstractNum w:abstractNumId="85">
    <w:nsid w:val="0E640482"/>
    <w:multiLevelType w:val="singleLevel"/>
    <w:tmpl w:val="0E640482"/>
    <w:lvl w:ilvl="0" w:tentative="0">
      <w:start w:val="0"/>
      <w:numFmt w:val="bullet"/>
      <w:lvlText w:val="•"/>
      <w:lvlJc w:val="left"/>
      <w:rPr>
        <w:rFonts w:hint="default"/>
        <w:color w:val="auto"/>
      </w:rPr>
    </w:lvl>
  </w:abstractNum>
  <w:abstractNum w:abstractNumId="86">
    <w:nsid w:val="0F9F9CCA"/>
    <w:multiLevelType w:val="singleLevel"/>
    <w:tmpl w:val="0F9F9CCA"/>
    <w:lvl w:ilvl="0" w:tentative="0">
      <w:start w:val="0"/>
      <w:numFmt w:val="bullet"/>
      <w:lvlText w:val="•"/>
      <w:lvlJc w:val="left"/>
      <w:rPr>
        <w:rFonts w:hint="default"/>
        <w:color w:val="auto"/>
      </w:rPr>
    </w:lvl>
  </w:abstractNum>
  <w:abstractNum w:abstractNumId="87">
    <w:nsid w:val="11C67697"/>
    <w:multiLevelType w:val="singleLevel"/>
    <w:tmpl w:val="11C67697"/>
    <w:lvl w:ilvl="0" w:tentative="0">
      <w:start w:val="1"/>
      <w:numFmt w:val="decimal"/>
      <w:suff w:val="nothing"/>
      <w:lvlText w:val="（%1）"/>
      <w:lvlJc w:val="left"/>
      <w:pPr>
        <w:ind w:left="0" w:firstLine="480"/>
      </w:pPr>
      <w:rPr>
        <w:rFonts w:hint="default"/>
      </w:rPr>
    </w:lvl>
  </w:abstractNum>
  <w:abstractNum w:abstractNumId="88">
    <w:nsid w:val="12EADF99"/>
    <w:multiLevelType w:val="singleLevel"/>
    <w:tmpl w:val="12EADF99"/>
    <w:lvl w:ilvl="0" w:tentative="0">
      <w:start w:val="0"/>
      <w:numFmt w:val="bullet"/>
      <w:lvlText w:val="•"/>
      <w:lvlJc w:val="left"/>
      <w:rPr>
        <w:rFonts w:hint="default"/>
        <w:color w:val="auto"/>
      </w:rPr>
    </w:lvl>
  </w:abstractNum>
  <w:abstractNum w:abstractNumId="89">
    <w:nsid w:val="12EF1458"/>
    <w:multiLevelType w:val="singleLevel"/>
    <w:tmpl w:val="12EF1458"/>
    <w:lvl w:ilvl="0" w:tentative="0">
      <w:start w:val="1"/>
      <w:numFmt w:val="decimal"/>
      <w:suff w:val="nothing"/>
      <w:lvlText w:val="%1、"/>
      <w:lvlJc w:val="left"/>
      <w:pPr>
        <w:ind w:left="0" w:firstLine="480"/>
      </w:pPr>
      <w:rPr>
        <w:rFonts w:hint="default"/>
      </w:rPr>
    </w:lvl>
  </w:abstractNum>
  <w:abstractNum w:abstractNumId="90">
    <w:nsid w:val="1828B5E6"/>
    <w:multiLevelType w:val="singleLevel"/>
    <w:tmpl w:val="1828B5E6"/>
    <w:lvl w:ilvl="0" w:tentative="0">
      <w:start w:val="1"/>
      <w:numFmt w:val="decimal"/>
      <w:lvlText w:val="5.%1"/>
      <w:lvlJc w:val="left"/>
      <w:pPr>
        <w:tabs>
          <w:tab w:val="left" w:pos="210"/>
        </w:tabs>
        <w:ind w:left="0" w:firstLine="0"/>
      </w:pPr>
      <w:rPr>
        <w:rFonts w:hint="default"/>
      </w:rPr>
    </w:lvl>
  </w:abstractNum>
  <w:abstractNum w:abstractNumId="91">
    <w:nsid w:val="18F74015"/>
    <w:multiLevelType w:val="singleLevel"/>
    <w:tmpl w:val="18F74015"/>
    <w:lvl w:ilvl="0" w:tentative="0">
      <w:start w:val="0"/>
      <w:numFmt w:val="bullet"/>
      <w:lvlText w:val="•"/>
      <w:lvlJc w:val="left"/>
      <w:rPr>
        <w:rFonts w:hint="default"/>
        <w:color w:val="auto"/>
      </w:rPr>
    </w:lvl>
  </w:abstractNum>
  <w:abstractNum w:abstractNumId="92">
    <w:nsid w:val="1ACDE60F"/>
    <w:multiLevelType w:val="singleLevel"/>
    <w:tmpl w:val="1ACDE60F"/>
    <w:lvl w:ilvl="0" w:tentative="0">
      <w:start w:val="0"/>
      <w:numFmt w:val="bullet"/>
      <w:lvlText w:val="•"/>
      <w:lvlJc w:val="left"/>
      <w:rPr>
        <w:rFonts w:hint="default"/>
        <w:color w:val="auto"/>
      </w:rPr>
    </w:lvl>
  </w:abstractNum>
  <w:abstractNum w:abstractNumId="93">
    <w:nsid w:val="1AF05278"/>
    <w:multiLevelType w:val="singleLevel"/>
    <w:tmpl w:val="1AF05278"/>
    <w:lvl w:ilvl="0" w:tentative="0">
      <w:start w:val="1"/>
      <w:numFmt w:val="decimal"/>
      <w:suff w:val="nothing"/>
      <w:lvlText w:val="%1、"/>
      <w:lvlJc w:val="left"/>
    </w:lvl>
  </w:abstractNum>
  <w:abstractNum w:abstractNumId="94">
    <w:nsid w:val="1C257C7B"/>
    <w:multiLevelType w:val="singleLevel"/>
    <w:tmpl w:val="1C257C7B"/>
    <w:lvl w:ilvl="0" w:tentative="0">
      <w:start w:val="0"/>
      <w:numFmt w:val="bullet"/>
      <w:lvlText w:val="•"/>
      <w:lvlJc w:val="left"/>
      <w:rPr>
        <w:rFonts w:hint="default"/>
        <w:color w:val="auto"/>
      </w:rPr>
    </w:lvl>
  </w:abstractNum>
  <w:abstractNum w:abstractNumId="95">
    <w:nsid w:val="21C51A19"/>
    <w:multiLevelType w:val="singleLevel"/>
    <w:tmpl w:val="21C51A19"/>
    <w:lvl w:ilvl="0" w:tentative="0">
      <w:start w:val="1"/>
      <w:numFmt w:val="decimal"/>
      <w:suff w:val="nothing"/>
      <w:lvlText w:val="%1、"/>
      <w:lvlJc w:val="left"/>
      <w:pPr>
        <w:ind w:left="0" w:firstLine="480"/>
      </w:pPr>
      <w:rPr>
        <w:rFonts w:hint="default"/>
      </w:rPr>
    </w:lvl>
  </w:abstractNum>
  <w:abstractNum w:abstractNumId="96">
    <w:nsid w:val="223B4561"/>
    <w:multiLevelType w:val="singleLevel"/>
    <w:tmpl w:val="223B4561"/>
    <w:lvl w:ilvl="0" w:tentative="0">
      <w:start w:val="1"/>
      <w:numFmt w:val="chineseCounting"/>
      <w:suff w:val="nothing"/>
      <w:lvlText w:val="（%1）"/>
      <w:lvlJc w:val="left"/>
      <w:pPr>
        <w:ind w:left="0" w:firstLine="480"/>
      </w:pPr>
      <w:rPr>
        <w:rFonts w:hint="eastAsia"/>
      </w:rPr>
    </w:lvl>
  </w:abstractNum>
  <w:abstractNum w:abstractNumId="97">
    <w:nsid w:val="23E97754"/>
    <w:multiLevelType w:val="singleLevel"/>
    <w:tmpl w:val="23E97754"/>
    <w:lvl w:ilvl="0" w:tentative="0">
      <w:start w:val="0"/>
      <w:numFmt w:val="bullet"/>
      <w:lvlText w:val="•"/>
      <w:lvlJc w:val="left"/>
      <w:rPr>
        <w:rFonts w:hint="default"/>
        <w:color w:val="auto"/>
      </w:rPr>
    </w:lvl>
  </w:abstractNum>
  <w:abstractNum w:abstractNumId="98">
    <w:nsid w:val="243FCF68"/>
    <w:multiLevelType w:val="singleLevel"/>
    <w:tmpl w:val="243FCF68"/>
    <w:lvl w:ilvl="0" w:tentative="0">
      <w:start w:val="0"/>
      <w:numFmt w:val="bullet"/>
      <w:lvlText w:val="•"/>
      <w:lvlJc w:val="left"/>
      <w:rPr>
        <w:rFonts w:hint="default"/>
        <w:color w:val="auto"/>
      </w:rPr>
    </w:lvl>
  </w:abstractNum>
  <w:abstractNum w:abstractNumId="99">
    <w:nsid w:val="2470EC97"/>
    <w:multiLevelType w:val="singleLevel"/>
    <w:tmpl w:val="2470EC97"/>
    <w:lvl w:ilvl="0" w:tentative="0">
      <w:start w:val="0"/>
      <w:numFmt w:val="bullet"/>
      <w:lvlText w:val="•"/>
      <w:lvlJc w:val="left"/>
      <w:rPr>
        <w:rFonts w:hint="default"/>
        <w:color w:val="auto"/>
      </w:rPr>
    </w:lvl>
  </w:abstractNum>
  <w:abstractNum w:abstractNumId="100">
    <w:nsid w:val="29918867"/>
    <w:multiLevelType w:val="singleLevel"/>
    <w:tmpl w:val="29918867"/>
    <w:lvl w:ilvl="0" w:tentative="0">
      <w:start w:val="1"/>
      <w:numFmt w:val="decimal"/>
      <w:lvlText w:val="6.5.%1"/>
      <w:lvlJc w:val="left"/>
      <w:pPr>
        <w:tabs>
          <w:tab w:val="left" w:pos="210"/>
        </w:tabs>
        <w:ind w:left="0" w:firstLine="0"/>
      </w:pPr>
      <w:rPr>
        <w:rFonts w:hint="default"/>
      </w:rPr>
    </w:lvl>
  </w:abstractNum>
  <w:abstractNum w:abstractNumId="101">
    <w:nsid w:val="2F2D79CE"/>
    <w:multiLevelType w:val="singleLevel"/>
    <w:tmpl w:val="2F2D79CE"/>
    <w:lvl w:ilvl="0" w:tentative="0">
      <w:start w:val="0"/>
      <w:numFmt w:val="bullet"/>
      <w:lvlText w:val="•"/>
      <w:lvlJc w:val="left"/>
      <w:rPr>
        <w:rFonts w:hint="default"/>
        <w:color w:val="auto"/>
      </w:rPr>
    </w:lvl>
  </w:abstractNum>
  <w:abstractNum w:abstractNumId="102">
    <w:nsid w:val="30A0AC00"/>
    <w:multiLevelType w:val="singleLevel"/>
    <w:tmpl w:val="30A0AC00"/>
    <w:lvl w:ilvl="0" w:tentative="0">
      <w:start w:val="0"/>
      <w:numFmt w:val="bullet"/>
      <w:lvlText w:val="•"/>
      <w:lvlJc w:val="left"/>
      <w:rPr>
        <w:rFonts w:hint="default"/>
        <w:color w:val="auto"/>
      </w:rPr>
    </w:lvl>
  </w:abstractNum>
  <w:abstractNum w:abstractNumId="103">
    <w:nsid w:val="30FC5B15"/>
    <w:multiLevelType w:val="singleLevel"/>
    <w:tmpl w:val="30FC5B15"/>
    <w:lvl w:ilvl="0" w:tentative="0">
      <w:start w:val="0"/>
      <w:numFmt w:val="bullet"/>
      <w:lvlText w:val="•"/>
      <w:lvlJc w:val="left"/>
      <w:rPr>
        <w:rFonts w:hint="default"/>
        <w:color w:val="auto"/>
      </w:rPr>
    </w:lvl>
  </w:abstractNum>
  <w:abstractNum w:abstractNumId="104">
    <w:nsid w:val="3139FAE1"/>
    <w:multiLevelType w:val="singleLevel"/>
    <w:tmpl w:val="3139FAE1"/>
    <w:lvl w:ilvl="0" w:tentative="0">
      <w:start w:val="1"/>
      <w:numFmt w:val="chineseCounting"/>
      <w:suff w:val="nothing"/>
      <w:lvlText w:val="%1、"/>
      <w:lvlJc w:val="left"/>
      <w:pPr>
        <w:ind w:left="-2" w:firstLine="0"/>
      </w:pPr>
      <w:rPr>
        <w:rFonts w:hint="eastAsia"/>
      </w:rPr>
    </w:lvl>
  </w:abstractNum>
  <w:abstractNum w:abstractNumId="105">
    <w:nsid w:val="322D85CA"/>
    <w:multiLevelType w:val="singleLevel"/>
    <w:tmpl w:val="322D85CA"/>
    <w:lvl w:ilvl="0" w:tentative="0">
      <w:start w:val="0"/>
      <w:numFmt w:val="bullet"/>
      <w:lvlText w:val="•"/>
      <w:lvlJc w:val="left"/>
      <w:rPr>
        <w:rFonts w:hint="default"/>
        <w:color w:val="auto"/>
      </w:rPr>
    </w:lvl>
  </w:abstractNum>
  <w:abstractNum w:abstractNumId="106">
    <w:nsid w:val="32A7AF2D"/>
    <w:multiLevelType w:val="singleLevel"/>
    <w:tmpl w:val="32A7AF2D"/>
    <w:lvl w:ilvl="0" w:tentative="0">
      <w:start w:val="0"/>
      <w:numFmt w:val="bullet"/>
      <w:lvlText w:val="•"/>
      <w:lvlJc w:val="left"/>
      <w:rPr>
        <w:rFonts w:hint="default"/>
        <w:color w:val="auto"/>
      </w:rPr>
    </w:lvl>
  </w:abstractNum>
  <w:abstractNum w:abstractNumId="107">
    <w:nsid w:val="35E83B33"/>
    <w:multiLevelType w:val="singleLevel"/>
    <w:tmpl w:val="35E83B33"/>
    <w:lvl w:ilvl="0" w:tentative="0">
      <w:start w:val="0"/>
      <w:numFmt w:val="bullet"/>
      <w:lvlText w:val="•"/>
      <w:lvlJc w:val="left"/>
      <w:rPr>
        <w:rFonts w:hint="default"/>
        <w:color w:val="auto"/>
      </w:rPr>
    </w:lvl>
  </w:abstractNum>
  <w:abstractNum w:abstractNumId="108">
    <w:nsid w:val="39A0D9AC"/>
    <w:multiLevelType w:val="singleLevel"/>
    <w:tmpl w:val="39A0D9AC"/>
    <w:lvl w:ilvl="0" w:tentative="0">
      <w:start w:val="0"/>
      <w:numFmt w:val="bullet"/>
      <w:lvlText w:val="•"/>
      <w:lvlJc w:val="left"/>
      <w:rPr>
        <w:rFonts w:hint="default"/>
        <w:color w:val="auto"/>
      </w:rPr>
    </w:lvl>
  </w:abstractNum>
  <w:abstractNum w:abstractNumId="109">
    <w:nsid w:val="3AAC9ADF"/>
    <w:multiLevelType w:val="singleLevel"/>
    <w:tmpl w:val="3AAC9ADF"/>
    <w:lvl w:ilvl="0" w:tentative="0">
      <w:start w:val="1"/>
      <w:numFmt w:val="decimal"/>
      <w:suff w:val="nothing"/>
      <w:lvlText w:val="（%1）"/>
      <w:lvlJc w:val="left"/>
      <w:pPr>
        <w:ind w:left="0" w:firstLine="480"/>
      </w:pPr>
      <w:rPr>
        <w:rFonts w:hint="default"/>
      </w:rPr>
    </w:lvl>
  </w:abstractNum>
  <w:abstractNum w:abstractNumId="110">
    <w:nsid w:val="3B8127DF"/>
    <w:multiLevelType w:val="singleLevel"/>
    <w:tmpl w:val="3B8127DF"/>
    <w:lvl w:ilvl="0" w:tentative="0">
      <w:start w:val="0"/>
      <w:numFmt w:val="bullet"/>
      <w:lvlText w:val="•"/>
      <w:lvlJc w:val="left"/>
      <w:rPr>
        <w:rFonts w:hint="default"/>
        <w:color w:val="auto"/>
      </w:rPr>
    </w:lvl>
  </w:abstractNum>
  <w:abstractNum w:abstractNumId="111">
    <w:nsid w:val="3E4F422D"/>
    <w:multiLevelType w:val="singleLevel"/>
    <w:tmpl w:val="3E4F422D"/>
    <w:lvl w:ilvl="0" w:tentative="0">
      <w:start w:val="1"/>
      <w:numFmt w:val="decimal"/>
      <w:suff w:val="nothing"/>
      <w:lvlText w:val="（%1）"/>
      <w:lvlJc w:val="left"/>
      <w:pPr>
        <w:ind w:left="0" w:firstLine="480"/>
      </w:pPr>
      <w:rPr>
        <w:rFonts w:hint="default"/>
      </w:rPr>
    </w:lvl>
  </w:abstractNum>
  <w:abstractNum w:abstractNumId="112">
    <w:nsid w:val="40B249F9"/>
    <w:multiLevelType w:val="singleLevel"/>
    <w:tmpl w:val="40B249F9"/>
    <w:lvl w:ilvl="0" w:tentative="0">
      <w:start w:val="0"/>
      <w:numFmt w:val="bullet"/>
      <w:lvlText w:val="•"/>
      <w:lvlJc w:val="left"/>
      <w:rPr>
        <w:rFonts w:hint="default"/>
        <w:color w:val="auto"/>
      </w:rPr>
    </w:lvl>
  </w:abstractNum>
  <w:abstractNum w:abstractNumId="113">
    <w:nsid w:val="4281A9E8"/>
    <w:multiLevelType w:val="singleLevel"/>
    <w:tmpl w:val="4281A9E8"/>
    <w:lvl w:ilvl="0" w:tentative="0">
      <w:start w:val="1"/>
      <w:numFmt w:val="decimal"/>
      <w:suff w:val="nothing"/>
      <w:lvlText w:val="（%1）"/>
      <w:lvlJc w:val="left"/>
      <w:pPr>
        <w:ind w:left="0" w:firstLine="480"/>
      </w:pPr>
      <w:rPr>
        <w:rFonts w:hint="default"/>
      </w:rPr>
    </w:lvl>
  </w:abstractNum>
  <w:abstractNum w:abstractNumId="114">
    <w:nsid w:val="45C5EACE"/>
    <w:multiLevelType w:val="singleLevel"/>
    <w:tmpl w:val="45C5EACE"/>
    <w:lvl w:ilvl="0" w:tentative="0">
      <w:start w:val="1"/>
      <w:numFmt w:val="decimal"/>
      <w:suff w:val="nothing"/>
      <w:lvlText w:val="（%1）"/>
      <w:lvlJc w:val="left"/>
      <w:pPr>
        <w:ind w:left="0" w:firstLine="480"/>
      </w:pPr>
      <w:rPr>
        <w:rFonts w:hint="default"/>
      </w:rPr>
    </w:lvl>
  </w:abstractNum>
  <w:abstractNum w:abstractNumId="115">
    <w:nsid w:val="46A08BB8"/>
    <w:multiLevelType w:val="singleLevel"/>
    <w:tmpl w:val="46A08BB8"/>
    <w:lvl w:ilvl="0" w:tentative="0">
      <w:start w:val="0"/>
      <w:numFmt w:val="bullet"/>
      <w:lvlText w:val="•"/>
      <w:lvlJc w:val="left"/>
      <w:rPr>
        <w:rFonts w:hint="default"/>
        <w:color w:val="auto"/>
      </w:rPr>
    </w:lvl>
  </w:abstractNum>
  <w:abstractNum w:abstractNumId="116">
    <w:nsid w:val="4C1BAE26"/>
    <w:multiLevelType w:val="singleLevel"/>
    <w:tmpl w:val="4C1BAE26"/>
    <w:lvl w:ilvl="0" w:tentative="0">
      <w:start w:val="0"/>
      <w:numFmt w:val="bullet"/>
      <w:lvlText w:val="•"/>
      <w:lvlJc w:val="left"/>
      <w:rPr>
        <w:rFonts w:hint="default"/>
        <w:color w:val="auto"/>
      </w:rPr>
    </w:lvl>
  </w:abstractNum>
  <w:abstractNum w:abstractNumId="117">
    <w:nsid w:val="4C3D7A74"/>
    <w:multiLevelType w:val="singleLevel"/>
    <w:tmpl w:val="4C3D7A74"/>
    <w:lvl w:ilvl="0" w:tentative="0">
      <w:start w:val="0"/>
      <w:numFmt w:val="bullet"/>
      <w:lvlText w:val="•"/>
      <w:lvlJc w:val="left"/>
      <w:rPr>
        <w:rFonts w:hint="default"/>
        <w:color w:val="auto"/>
      </w:rPr>
    </w:lvl>
  </w:abstractNum>
  <w:abstractNum w:abstractNumId="118">
    <w:nsid w:val="4D94DA66"/>
    <w:multiLevelType w:val="singleLevel"/>
    <w:tmpl w:val="4D94DA66"/>
    <w:lvl w:ilvl="0" w:tentative="0">
      <w:start w:val="0"/>
      <w:numFmt w:val="bullet"/>
      <w:lvlText w:val="•"/>
      <w:lvlJc w:val="left"/>
      <w:rPr>
        <w:rFonts w:hint="default"/>
        <w:color w:val="auto"/>
      </w:rPr>
    </w:lvl>
  </w:abstractNum>
  <w:abstractNum w:abstractNumId="119">
    <w:nsid w:val="56691FAF"/>
    <w:multiLevelType w:val="singleLevel"/>
    <w:tmpl w:val="56691FAF"/>
    <w:lvl w:ilvl="0" w:tentative="0">
      <w:start w:val="1"/>
      <w:numFmt w:val="decimal"/>
      <w:lvlText w:val="3.1.%1"/>
      <w:lvlJc w:val="left"/>
      <w:pPr>
        <w:tabs>
          <w:tab w:val="left" w:pos="210"/>
        </w:tabs>
        <w:ind w:left="0" w:firstLine="480"/>
      </w:pPr>
      <w:rPr>
        <w:rFonts w:hint="default"/>
      </w:rPr>
    </w:lvl>
  </w:abstractNum>
  <w:abstractNum w:abstractNumId="120">
    <w:nsid w:val="58765686"/>
    <w:multiLevelType w:val="singleLevel"/>
    <w:tmpl w:val="58765686"/>
    <w:lvl w:ilvl="0" w:tentative="0">
      <w:start w:val="0"/>
      <w:numFmt w:val="bullet"/>
      <w:lvlText w:val="•"/>
      <w:lvlJc w:val="left"/>
      <w:rPr>
        <w:rFonts w:hint="default"/>
        <w:color w:val="auto"/>
      </w:rPr>
    </w:lvl>
  </w:abstractNum>
  <w:abstractNum w:abstractNumId="121">
    <w:nsid w:val="5B5FE205"/>
    <w:multiLevelType w:val="singleLevel"/>
    <w:tmpl w:val="5B5FE205"/>
    <w:lvl w:ilvl="0" w:tentative="0">
      <w:start w:val="1"/>
      <w:numFmt w:val="decimal"/>
      <w:lvlText w:val="3.4.%1"/>
      <w:lvlJc w:val="left"/>
      <w:pPr>
        <w:tabs>
          <w:tab w:val="left" w:pos="210"/>
        </w:tabs>
        <w:ind w:left="0" w:firstLine="480"/>
      </w:pPr>
      <w:rPr>
        <w:rFonts w:hint="default"/>
      </w:rPr>
    </w:lvl>
  </w:abstractNum>
  <w:abstractNum w:abstractNumId="122">
    <w:nsid w:val="5E29AB5A"/>
    <w:multiLevelType w:val="singleLevel"/>
    <w:tmpl w:val="5E29AB5A"/>
    <w:lvl w:ilvl="0" w:tentative="0">
      <w:start w:val="0"/>
      <w:numFmt w:val="bullet"/>
      <w:lvlText w:val="•"/>
      <w:lvlJc w:val="left"/>
      <w:rPr>
        <w:rFonts w:hint="default"/>
        <w:color w:val="auto"/>
      </w:rPr>
    </w:lvl>
  </w:abstractNum>
  <w:abstractNum w:abstractNumId="123">
    <w:nsid w:val="5FFFB1A7"/>
    <w:multiLevelType w:val="singleLevel"/>
    <w:tmpl w:val="5FFFB1A7"/>
    <w:lvl w:ilvl="0" w:tentative="0">
      <w:start w:val="0"/>
      <w:numFmt w:val="bullet"/>
      <w:lvlText w:val="•"/>
      <w:lvlJc w:val="left"/>
      <w:rPr>
        <w:rFonts w:hint="default"/>
        <w:color w:val="auto"/>
      </w:rPr>
    </w:lvl>
  </w:abstractNum>
  <w:abstractNum w:abstractNumId="124">
    <w:nsid w:val="60382F6E"/>
    <w:multiLevelType w:val="singleLevel"/>
    <w:tmpl w:val="60382F6E"/>
    <w:lvl w:ilvl="0" w:tentative="0">
      <w:start w:val="0"/>
      <w:numFmt w:val="bullet"/>
      <w:lvlText w:val="•"/>
      <w:lvlJc w:val="left"/>
      <w:rPr>
        <w:rFonts w:hint="default"/>
        <w:color w:val="auto"/>
      </w:rPr>
    </w:lvl>
  </w:abstractNum>
  <w:abstractNum w:abstractNumId="125">
    <w:nsid w:val="60D8346A"/>
    <w:multiLevelType w:val="singleLevel"/>
    <w:tmpl w:val="60D8346A"/>
    <w:lvl w:ilvl="0" w:tentative="0">
      <w:start w:val="1"/>
      <w:numFmt w:val="decimal"/>
      <w:lvlText w:val="%1."/>
      <w:lvlJc w:val="left"/>
      <w:pPr>
        <w:tabs>
          <w:tab w:val="left" w:pos="210"/>
        </w:tabs>
        <w:ind w:firstLine="480"/>
      </w:pPr>
      <w:rPr>
        <w:rFonts w:hint="default"/>
        <w:color w:val="auto"/>
      </w:rPr>
    </w:lvl>
  </w:abstractNum>
  <w:abstractNum w:abstractNumId="126">
    <w:nsid w:val="62AE903F"/>
    <w:multiLevelType w:val="singleLevel"/>
    <w:tmpl w:val="62AE903F"/>
    <w:lvl w:ilvl="0" w:tentative="0">
      <w:start w:val="1"/>
      <w:numFmt w:val="decimal"/>
      <w:lvlText w:val="2.2.%1"/>
      <w:lvlJc w:val="left"/>
      <w:pPr>
        <w:tabs>
          <w:tab w:val="left" w:pos="210"/>
        </w:tabs>
        <w:ind w:left="0" w:firstLine="480"/>
      </w:pPr>
      <w:rPr>
        <w:rFonts w:hint="default"/>
      </w:rPr>
    </w:lvl>
  </w:abstractNum>
  <w:abstractNum w:abstractNumId="127">
    <w:nsid w:val="631C91E4"/>
    <w:multiLevelType w:val="singleLevel"/>
    <w:tmpl w:val="631C91E4"/>
    <w:lvl w:ilvl="0" w:tentative="0">
      <w:start w:val="1"/>
      <w:numFmt w:val="decimal"/>
      <w:lvlText w:val="%1."/>
      <w:lvlJc w:val="left"/>
      <w:pPr>
        <w:tabs>
          <w:tab w:val="left" w:pos="210"/>
        </w:tabs>
        <w:ind w:firstLine="480"/>
      </w:pPr>
      <w:rPr>
        <w:rFonts w:hint="default"/>
        <w:color w:val="auto"/>
      </w:rPr>
    </w:lvl>
  </w:abstractNum>
  <w:abstractNum w:abstractNumId="128">
    <w:nsid w:val="65CD0074"/>
    <w:multiLevelType w:val="singleLevel"/>
    <w:tmpl w:val="65CD0074"/>
    <w:lvl w:ilvl="0" w:tentative="0">
      <w:start w:val="0"/>
      <w:numFmt w:val="bullet"/>
      <w:lvlText w:val="•"/>
      <w:lvlJc w:val="left"/>
      <w:rPr>
        <w:rFonts w:hint="default"/>
        <w:color w:val="auto"/>
      </w:rPr>
    </w:lvl>
  </w:abstractNum>
  <w:abstractNum w:abstractNumId="129">
    <w:nsid w:val="6632ACF8"/>
    <w:multiLevelType w:val="singleLevel"/>
    <w:tmpl w:val="6632ACF8"/>
    <w:lvl w:ilvl="0" w:tentative="0">
      <w:start w:val="1"/>
      <w:numFmt w:val="decimal"/>
      <w:lvlText w:val="3.7.%1"/>
      <w:lvlJc w:val="left"/>
      <w:pPr>
        <w:tabs>
          <w:tab w:val="left" w:pos="210"/>
        </w:tabs>
        <w:ind w:left="0" w:firstLine="480"/>
      </w:pPr>
      <w:rPr>
        <w:rFonts w:hint="default"/>
      </w:rPr>
    </w:lvl>
  </w:abstractNum>
  <w:abstractNum w:abstractNumId="130">
    <w:nsid w:val="689944FA"/>
    <w:multiLevelType w:val="singleLevel"/>
    <w:tmpl w:val="689944FA"/>
    <w:lvl w:ilvl="0" w:tentative="0">
      <w:start w:val="1"/>
      <w:numFmt w:val="decimal"/>
      <w:lvlText w:val="1.11.%1"/>
      <w:lvlJc w:val="left"/>
      <w:pPr>
        <w:tabs>
          <w:tab w:val="left" w:pos="210"/>
        </w:tabs>
        <w:ind w:left="0" w:firstLine="480"/>
      </w:pPr>
      <w:rPr>
        <w:rFonts w:hint="default"/>
      </w:rPr>
    </w:lvl>
  </w:abstractNum>
  <w:abstractNum w:abstractNumId="131">
    <w:nsid w:val="6BF6DB32"/>
    <w:multiLevelType w:val="singleLevel"/>
    <w:tmpl w:val="6BF6DB32"/>
    <w:lvl w:ilvl="0" w:tentative="0">
      <w:start w:val="1"/>
      <w:numFmt w:val="decimal"/>
      <w:suff w:val="nothing"/>
      <w:lvlText w:val="%1、"/>
      <w:lvlJc w:val="left"/>
      <w:pPr>
        <w:ind w:left="0" w:firstLine="480"/>
      </w:pPr>
      <w:rPr>
        <w:rFonts w:hint="default"/>
      </w:rPr>
    </w:lvl>
  </w:abstractNum>
  <w:abstractNum w:abstractNumId="132">
    <w:nsid w:val="700FDCEF"/>
    <w:multiLevelType w:val="singleLevel"/>
    <w:tmpl w:val="700FDCEF"/>
    <w:lvl w:ilvl="0" w:tentative="0">
      <w:start w:val="0"/>
      <w:numFmt w:val="bullet"/>
      <w:lvlText w:val="•"/>
      <w:lvlJc w:val="left"/>
      <w:rPr>
        <w:rFonts w:hint="default"/>
        <w:color w:val="auto"/>
      </w:rPr>
    </w:lvl>
  </w:abstractNum>
  <w:abstractNum w:abstractNumId="133">
    <w:nsid w:val="70DE8DD3"/>
    <w:multiLevelType w:val="singleLevel"/>
    <w:tmpl w:val="70DE8DD3"/>
    <w:lvl w:ilvl="0" w:tentative="0">
      <w:start w:val="1"/>
      <w:numFmt w:val="chineseCounting"/>
      <w:suff w:val="nothing"/>
      <w:lvlText w:val="%1、"/>
      <w:lvlJc w:val="left"/>
      <w:pPr>
        <w:ind w:left="0" w:firstLine="480"/>
      </w:pPr>
      <w:rPr>
        <w:rFonts w:hint="eastAsia"/>
      </w:rPr>
    </w:lvl>
  </w:abstractNum>
  <w:abstractNum w:abstractNumId="134">
    <w:nsid w:val="72D61843"/>
    <w:multiLevelType w:val="singleLevel"/>
    <w:tmpl w:val="72D61843"/>
    <w:lvl w:ilvl="0" w:tentative="0">
      <w:start w:val="1"/>
      <w:numFmt w:val="decimal"/>
      <w:lvlText w:val="7.6.%1"/>
      <w:lvlJc w:val="left"/>
      <w:pPr>
        <w:tabs>
          <w:tab w:val="left" w:pos="210"/>
        </w:tabs>
        <w:ind w:left="0" w:firstLine="480"/>
      </w:pPr>
      <w:rPr>
        <w:rFonts w:hint="default"/>
      </w:rPr>
    </w:lvl>
  </w:abstractNum>
  <w:abstractNum w:abstractNumId="135">
    <w:nsid w:val="74C28B35"/>
    <w:multiLevelType w:val="singleLevel"/>
    <w:tmpl w:val="74C28B35"/>
    <w:lvl w:ilvl="0" w:tentative="0">
      <w:start w:val="0"/>
      <w:numFmt w:val="bullet"/>
      <w:lvlText w:val="•"/>
      <w:lvlJc w:val="left"/>
      <w:rPr>
        <w:rFonts w:hint="default"/>
        <w:color w:val="auto"/>
      </w:rPr>
    </w:lvl>
  </w:abstractNum>
  <w:abstractNum w:abstractNumId="136">
    <w:nsid w:val="77633216"/>
    <w:multiLevelType w:val="singleLevel"/>
    <w:tmpl w:val="77633216"/>
    <w:lvl w:ilvl="0" w:tentative="0">
      <w:start w:val="0"/>
      <w:numFmt w:val="bullet"/>
      <w:lvlText w:val="•"/>
      <w:lvlJc w:val="left"/>
      <w:rPr>
        <w:rFonts w:hint="default"/>
        <w:color w:val="auto"/>
      </w:rPr>
    </w:lvl>
  </w:abstractNum>
  <w:abstractNum w:abstractNumId="137">
    <w:nsid w:val="77ECEA79"/>
    <w:multiLevelType w:val="singleLevel"/>
    <w:tmpl w:val="77ECEA79"/>
    <w:lvl w:ilvl="0" w:tentative="0">
      <w:start w:val="0"/>
      <w:numFmt w:val="bullet"/>
      <w:lvlText w:val="•"/>
      <w:lvlJc w:val="left"/>
      <w:rPr>
        <w:rFonts w:hint="default"/>
        <w:color w:val="auto"/>
      </w:rPr>
    </w:lvl>
  </w:abstractNum>
  <w:abstractNum w:abstractNumId="138">
    <w:nsid w:val="79AA4FA4"/>
    <w:multiLevelType w:val="singleLevel"/>
    <w:tmpl w:val="79AA4FA4"/>
    <w:lvl w:ilvl="0" w:tentative="0">
      <w:start w:val="0"/>
      <w:numFmt w:val="bullet"/>
      <w:lvlText w:val="•"/>
      <w:lvlJc w:val="left"/>
      <w:rPr>
        <w:rFonts w:hint="default"/>
        <w:color w:val="auto"/>
      </w:rPr>
    </w:lvl>
  </w:abstractNum>
  <w:abstractNum w:abstractNumId="139">
    <w:nsid w:val="7B316684"/>
    <w:multiLevelType w:val="singleLevel"/>
    <w:tmpl w:val="7B316684"/>
    <w:lvl w:ilvl="0" w:tentative="0">
      <w:start w:val="1"/>
      <w:numFmt w:val="decimal"/>
      <w:lvlText w:val="6.1.%1"/>
      <w:lvlJc w:val="left"/>
      <w:pPr>
        <w:tabs>
          <w:tab w:val="left" w:pos="210"/>
        </w:tabs>
        <w:ind w:left="0" w:firstLine="480"/>
      </w:pPr>
      <w:rPr>
        <w:rFonts w:hint="default"/>
      </w:rPr>
    </w:lvl>
  </w:abstractNum>
  <w:abstractNum w:abstractNumId="140">
    <w:nsid w:val="7C246926"/>
    <w:multiLevelType w:val="singleLevel"/>
    <w:tmpl w:val="7C246926"/>
    <w:lvl w:ilvl="0" w:tentative="0">
      <w:start w:val="0"/>
      <w:numFmt w:val="bullet"/>
      <w:lvlText w:val="•"/>
      <w:lvlJc w:val="left"/>
      <w:rPr>
        <w:rFonts w:hint="default"/>
        <w:color w:val="auto"/>
      </w:rPr>
    </w:lvl>
  </w:abstractNum>
  <w:abstractNum w:abstractNumId="141">
    <w:nsid w:val="7DEC2089"/>
    <w:multiLevelType w:val="singleLevel"/>
    <w:tmpl w:val="7DEC2089"/>
    <w:lvl w:ilvl="0" w:tentative="0">
      <w:start w:val="0"/>
      <w:numFmt w:val="bullet"/>
      <w:lvlText w:val="•"/>
      <w:lvlJc w:val="left"/>
      <w:rPr>
        <w:rFonts w:hint="default"/>
        <w:color w:val="auto"/>
      </w:rPr>
    </w:lvl>
  </w:abstractNum>
  <w:num w:numId="1">
    <w:abstractNumId w:val="66"/>
  </w:num>
  <w:num w:numId="2">
    <w:abstractNumId w:val="109"/>
  </w:num>
  <w:num w:numId="3">
    <w:abstractNumId w:val="93"/>
  </w:num>
  <w:num w:numId="4">
    <w:abstractNumId w:val="23"/>
  </w:num>
  <w:num w:numId="5">
    <w:abstractNumId w:val="78"/>
  </w:num>
  <w:num w:numId="6">
    <w:abstractNumId w:val="16"/>
  </w:num>
  <w:num w:numId="7">
    <w:abstractNumId w:val="67"/>
  </w:num>
  <w:num w:numId="8">
    <w:abstractNumId w:val="3"/>
  </w:num>
  <w:num w:numId="9">
    <w:abstractNumId w:val="69"/>
  </w:num>
  <w:num w:numId="10">
    <w:abstractNumId w:val="45"/>
  </w:num>
  <w:num w:numId="11">
    <w:abstractNumId w:val="4"/>
  </w:num>
  <w:num w:numId="12">
    <w:abstractNumId w:val="30"/>
  </w:num>
  <w:num w:numId="13">
    <w:abstractNumId w:val="130"/>
  </w:num>
  <w:num w:numId="14">
    <w:abstractNumId w:val="38"/>
  </w:num>
  <w:num w:numId="15">
    <w:abstractNumId w:val="39"/>
  </w:num>
  <w:num w:numId="16">
    <w:abstractNumId w:val="111"/>
  </w:num>
  <w:num w:numId="17">
    <w:abstractNumId w:val="126"/>
  </w:num>
  <w:num w:numId="18">
    <w:abstractNumId w:val="14"/>
  </w:num>
  <w:num w:numId="19">
    <w:abstractNumId w:val="24"/>
  </w:num>
  <w:num w:numId="20">
    <w:abstractNumId w:val="133"/>
  </w:num>
  <w:num w:numId="21">
    <w:abstractNumId w:val="70"/>
  </w:num>
  <w:num w:numId="22">
    <w:abstractNumId w:val="59"/>
  </w:num>
  <w:num w:numId="23">
    <w:abstractNumId w:val="13"/>
  </w:num>
  <w:num w:numId="24">
    <w:abstractNumId w:val="33"/>
  </w:num>
  <w:num w:numId="25">
    <w:abstractNumId w:val="113"/>
  </w:num>
  <w:num w:numId="26">
    <w:abstractNumId w:val="12"/>
  </w:num>
  <w:num w:numId="27">
    <w:abstractNumId w:val="129"/>
  </w:num>
  <w:num w:numId="28">
    <w:abstractNumId w:val="10"/>
  </w:num>
  <w:num w:numId="29">
    <w:abstractNumId w:val="47"/>
  </w:num>
  <w:num w:numId="30">
    <w:abstractNumId w:val="18"/>
  </w:num>
  <w:num w:numId="31">
    <w:abstractNumId w:val="25"/>
  </w:num>
  <w:num w:numId="32">
    <w:abstractNumId w:val="41"/>
  </w:num>
  <w:num w:numId="33">
    <w:abstractNumId w:val="90"/>
  </w:num>
  <w:num w:numId="34">
    <w:abstractNumId w:val="50"/>
  </w:num>
  <w:num w:numId="35">
    <w:abstractNumId w:val="54"/>
  </w:num>
  <w:num w:numId="36">
    <w:abstractNumId w:val="139"/>
  </w:num>
  <w:num w:numId="37">
    <w:abstractNumId w:val="68"/>
  </w:num>
  <w:num w:numId="38">
    <w:abstractNumId w:val="44"/>
  </w:num>
  <w:num w:numId="39">
    <w:abstractNumId w:val="9"/>
  </w:num>
  <w:num w:numId="40">
    <w:abstractNumId w:val="100"/>
  </w:num>
  <w:num w:numId="41">
    <w:abstractNumId w:val="96"/>
  </w:num>
  <w:num w:numId="42">
    <w:abstractNumId w:val="35"/>
  </w:num>
  <w:num w:numId="43">
    <w:abstractNumId w:val="74"/>
  </w:num>
  <w:num w:numId="44">
    <w:abstractNumId w:val="95"/>
  </w:num>
  <w:num w:numId="45">
    <w:abstractNumId w:val="81"/>
  </w:num>
  <w:num w:numId="46">
    <w:abstractNumId w:val="89"/>
  </w:num>
  <w:num w:numId="47">
    <w:abstractNumId w:val="63"/>
  </w:num>
  <w:num w:numId="48">
    <w:abstractNumId w:val="72"/>
  </w:num>
  <w:num w:numId="49">
    <w:abstractNumId w:val="58"/>
  </w:num>
  <w:num w:numId="50">
    <w:abstractNumId w:val="22"/>
  </w:num>
  <w:num w:numId="51">
    <w:abstractNumId w:val="27"/>
  </w:num>
  <w:num w:numId="52">
    <w:abstractNumId w:val="21"/>
  </w:num>
  <w:num w:numId="53">
    <w:abstractNumId w:val="114"/>
  </w:num>
  <w:num w:numId="54">
    <w:abstractNumId w:val="134"/>
  </w:num>
  <w:num w:numId="55">
    <w:abstractNumId w:val="7"/>
  </w:num>
  <w:num w:numId="56">
    <w:abstractNumId w:val="49"/>
  </w:num>
  <w:num w:numId="57">
    <w:abstractNumId w:val="5"/>
  </w:num>
  <w:num w:numId="58">
    <w:abstractNumId w:val="82"/>
  </w:num>
  <w:num w:numId="59">
    <w:abstractNumId w:val="51"/>
  </w:num>
  <w:num w:numId="60">
    <w:abstractNumId w:val="131"/>
  </w:num>
  <w:num w:numId="61">
    <w:abstractNumId w:val="77"/>
  </w:num>
  <w:num w:numId="62">
    <w:abstractNumId w:val="119"/>
  </w:num>
  <w:num w:numId="63">
    <w:abstractNumId w:val="83"/>
  </w:num>
  <w:num w:numId="64">
    <w:abstractNumId w:val="34"/>
  </w:num>
  <w:num w:numId="65">
    <w:abstractNumId w:val="121"/>
  </w:num>
  <w:num w:numId="66">
    <w:abstractNumId w:val="64"/>
  </w:num>
  <w:num w:numId="67">
    <w:abstractNumId w:val="26"/>
  </w:num>
  <w:num w:numId="68">
    <w:abstractNumId w:val="104"/>
  </w:num>
  <w:num w:numId="69">
    <w:abstractNumId w:val="11"/>
  </w:num>
  <w:num w:numId="70">
    <w:abstractNumId w:val="17"/>
  </w:num>
  <w:num w:numId="71">
    <w:abstractNumId w:val="125"/>
  </w:num>
  <w:num w:numId="72">
    <w:abstractNumId w:val="61"/>
  </w:num>
  <w:num w:numId="73">
    <w:abstractNumId w:val="32"/>
  </w:num>
  <w:num w:numId="74">
    <w:abstractNumId w:val="75"/>
  </w:num>
  <w:num w:numId="75">
    <w:abstractNumId w:val="48"/>
  </w:num>
  <w:num w:numId="76">
    <w:abstractNumId w:val="127"/>
  </w:num>
  <w:num w:numId="77">
    <w:abstractNumId w:val="87"/>
  </w:num>
  <w:num w:numId="78">
    <w:abstractNumId w:val="55"/>
  </w:num>
  <w:num w:numId="79">
    <w:abstractNumId w:val="99"/>
  </w:num>
  <w:num w:numId="80">
    <w:abstractNumId w:val="57"/>
  </w:num>
  <w:num w:numId="81">
    <w:abstractNumId w:val="53"/>
  </w:num>
  <w:num w:numId="82">
    <w:abstractNumId w:val="15"/>
  </w:num>
  <w:num w:numId="83">
    <w:abstractNumId w:val="116"/>
  </w:num>
  <w:num w:numId="84">
    <w:abstractNumId w:val="124"/>
  </w:num>
  <w:num w:numId="85">
    <w:abstractNumId w:val="85"/>
  </w:num>
  <w:num w:numId="86">
    <w:abstractNumId w:val="115"/>
  </w:num>
  <w:num w:numId="87">
    <w:abstractNumId w:val="28"/>
  </w:num>
  <w:num w:numId="88">
    <w:abstractNumId w:val="140"/>
  </w:num>
  <w:num w:numId="89">
    <w:abstractNumId w:val="137"/>
  </w:num>
  <w:num w:numId="90">
    <w:abstractNumId w:val="42"/>
  </w:num>
  <w:num w:numId="91">
    <w:abstractNumId w:val="108"/>
  </w:num>
  <w:num w:numId="92">
    <w:abstractNumId w:val="2"/>
  </w:num>
  <w:num w:numId="93">
    <w:abstractNumId w:val="120"/>
  </w:num>
  <w:num w:numId="94">
    <w:abstractNumId w:val="141"/>
  </w:num>
  <w:num w:numId="95">
    <w:abstractNumId w:val="0"/>
  </w:num>
  <w:num w:numId="96">
    <w:abstractNumId w:val="98"/>
  </w:num>
  <w:num w:numId="97">
    <w:abstractNumId w:val="118"/>
  </w:num>
  <w:num w:numId="98">
    <w:abstractNumId w:val="73"/>
  </w:num>
  <w:num w:numId="99">
    <w:abstractNumId w:val="60"/>
  </w:num>
  <w:num w:numId="100">
    <w:abstractNumId w:val="103"/>
  </w:num>
  <w:num w:numId="101">
    <w:abstractNumId w:val="138"/>
  </w:num>
  <w:num w:numId="102">
    <w:abstractNumId w:val="40"/>
  </w:num>
  <w:num w:numId="103">
    <w:abstractNumId w:val="8"/>
  </w:num>
  <w:num w:numId="104">
    <w:abstractNumId w:val="37"/>
  </w:num>
  <w:num w:numId="105">
    <w:abstractNumId w:val="122"/>
  </w:num>
  <w:num w:numId="106">
    <w:abstractNumId w:val="1"/>
  </w:num>
  <w:num w:numId="107">
    <w:abstractNumId w:val="92"/>
  </w:num>
  <w:num w:numId="108">
    <w:abstractNumId w:val="6"/>
  </w:num>
  <w:num w:numId="109">
    <w:abstractNumId w:val="123"/>
  </w:num>
  <w:num w:numId="110">
    <w:abstractNumId w:val="135"/>
  </w:num>
  <w:num w:numId="111">
    <w:abstractNumId w:val="117"/>
  </w:num>
  <w:num w:numId="112">
    <w:abstractNumId w:val="105"/>
  </w:num>
  <w:num w:numId="113">
    <w:abstractNumId w:val="128"/>
  </w:num>
  <w:num w:numId="114">
    <w:abstractNumId w:val="80"/>
  </w:num>
  <w:num w:numId="115">
    <w:abstractNumId w:val="84"/>
  </w:num>
  <w:num w:numId="116">
    <w:abstractNumId w:val="52"/>
  </w:num>
  <w:num w:numId="117">
    <w:abstractNumId w:val="106"/>
  </w:num>
  <w:num w:numId="118">
    <w:abstractNumId w:val="94"/>
  </w:num>
  <w:num w:numId="119">
    <w:abstractNumId w:val="71"/>
  </w:num>
  <w:num w:numId="120">
    <w:abstractNumId w:val="97"/>
  </w:num>
  <w:num w:numId="121">
    <w:abstractNumId w:val="31"/>
  </w:num>
  <w:num w:numId="122">
    <w:abstractNumId w:val="112"/>
  </w:num>
  <w:num w:numId="123">
    <w:abstractNumId w:val="86"/>
  </w:num>
  <w:num w:numId="124">
    <w:abstractNumId w:val="107"/>
  </w:num>
  <w:num w:numId="125">
    <w:abstractNumId w:val="79"/>
  </w:num>
  <w:num w:numId="126">
    <w:abstractNumId w:val="43"/>
  </w:num>
  <w:num w:numId="127">
    <w:abstractNumId w:val="88"/>
  </w:num>
  <w:num w:numId="128">
    <w:abstractNumId w:val="29"/>
  </w:num>
  <w:num w:numId="129">
    <w:abstractNumId w:val="110"/>
  </w:num>
  <w:num w:numId="130">
    <w:abstractNumId w:val="20"/>
  </w:num>
  <w:num w:numId="131">
    <w:abstractNumId w:val="102"/>
  </w:num>
  <w:num w:numId="132">
    <w:abstractNumId w:val="76"/>
  </w:num>
  <w:num w:numId="133">
    <w:abstractNumId w:val="91"/>
  </w:num>
  <w:num w:numId="134">
    <w:abstractNumId w:val="132"/>
  </w:num>
  <w:num w:numId="135">
    <w:abstractNumId w:val="62"/>
  </w:num>
  <w:num w:numId="136">
    <w:abstractNumId w:val="46"/>
  </w:num>
  <w:num w:numId="137">
    <w:abstractNumId w:val="19"/>
  </w:num>
  <w:num w:numId="138">
    <w:abstractNumId w:val="136"/>
  </w:num>
  <w:num w:numId="139">
    <w:abstractNumId w:val="56"/>
  </w:num>
  <w:num w:numId="140">
    <w:abstractNumId w:val="36"/>
  </w:num>
  <w:num w:numId="141">
    <w:abstractNumId w:val="101"/>
  </w:num>
  <w:num w:numId="142">
    <w:abstractNumId w:val="6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isplayHorizontalDrawingGridEvery w:val="1"/>
  <w:displayVerticalDrawingGridEvery w:val="1"/>
  <w:noPunctuationKerning w:val="1"/>
  <w:characterSpacingControl w:val="compressPunctuation"/>
  <w:compat>
    <w:balanceSingleByteDoubleByteWidth/>
    <w:ulTrailSpace/>
    <w:doNotExpandShiftReturn/>
    <w:adjustLineHeightInTable/>
    <w:doNotWrapTextWithPunct/>
    <w:doNotUseEastAsianBreakRules/>
    <w:useFELayout/>
    <w:splitPgBreakAndParaMark/>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253372"/>
    <w:rsid w:val="02337D11"/>
    <w:rsid w:val="02EA4873"/>
    <w:rsid w:val="03A57502"/>
    <w:rsid w:val="04477AA3"/>
    <w:rsid w:val="0458580D"/>
    <w:rsid w:val="045B1ED2"/>
    <w:rsid w:val="04D035F5"/>
    <w:rsid w:val="05526700"/>
    <w:rsid w:val="05E11832"/>
    <w:rsid w:val="06823015"/>
    <w:rsid w:val="06BB2A5E"/>
    <w:rsid w:val="07B53DB1"/>
    <w:rsid w:val="08B160DF"/>
    <w:rsid w:val="098B21E0"/>
    <w:rsid w:val="0D817B82"/>
    <w:rsid w:val="0DAD0BF2"/>
    <w:rsid w:val="0DF05B16"/>
    <w:rsid w:val="0DFA7935"/>
    <w:rsid w:val="0EB4779A"/>
    <w:rsid w:val="0ECF491D"/>
    <w:rsid w:val="0FA364D6"/>
    <w:rsid w:val="100C2C2F"/>
    <w:rsid w:val="10B22749"/>
    <w:rsid w:val="11A30C92"/>
    <w:rsid w:val="12695089"/>
    <w:rsid w:val="12B66520"/>
    <w:rsid w:val="13A30610"/>
    <w:rsid w:val="13A445CA"/>
    <w:rsid w:val="148D1503"/>
    <w:rsid w:val="149C34D0"/>
    <w:rsid w:val="14A800EA"/>
    <w:rsid w:val="14CE4728"/>
    <w:rsid w:val="15A77183"/>
    <w:rsid w:val="15C60525"/>
    <w:rsid w:val="15F01D49"/>
    <w:rsid w:val="15F56DBC"/>
    <w:rsid w:val="167C538B"/>
    <w:rsid w:val="16BD6B88"/>
    <w:rsid w:val="16BF796D"/>
    <w:rsid w:val="1700420E"/>
    <w:rsid w:val="182F0552"/>
    <w:rsid w:val="18394A9B"/>
    <w:rsid w:val="1ACD08AB"/>
    <w:rsid w:val="1C55112E"/>
    <w:rsid w:val="1CF540E9"/>
    <w:rsid w:val="1D705DE0"/>
    <w:rsid w:val="1DB731B5"/>
    <w:rsid w:val="1DD7559C"/>
    <w:rsid w:val="1E085F02"/>
    <w:rsid w:val="1E116A27"/>
    <w:rsid w:val="1F5D7D23"/>
    <w:rsid w:val="1F5E028A"/>
    <w:rsid w:val="1FB5190D"/>
    <w:rsid w:val="20457135"/>
    <w:rsid w:val="205B7F67"/>
    <w:rsid w:val="218617B3"/>
    <w:rsid w:val="21FB7809"/>
    <w:rsid w:val="227C7FCA"/>
    <w:rsid w:val="2341206B"/>
    <w:rsid w:val="236451D5"/>
    <w:rsid w:val="23BE3486"/>
    <w:rsid w:val="23F0560A"/>
    <w:rsid w:val="2584425C"/>
    <w:rsid w:val="27194E78"/>
    <w:rsid w:val="276172BC"/>
    <w:rsid w:val="28AB1AFF"/>
    <w:rsid w:val="291861CB"/>
    <w:rsid w:val="29B33362"/>
    <w:rsid w:val="29CD3BEB"/>
    <w:rsid w:val="29F55728"/>
    <w:rsid w:val="2A9A62D0"/>
    <w:rsid w:val="2B345DDC"/>
    <w:rsid w:val="2BA32F62"/>
    <w:rsid w:val="2BAB5C50"/>
    <w:rsid w:val="2D2C4E0A"/>
    <w:rsid w:val="2D8D2FBD"/>
    <w:rsid w:val="2EC61490"/>
    <w:rsid w:val="31BC6B2B"/>
    <w:rsid w:val="31BD23A5"/>
    <w:rsid w:val="32C4213C"/>
    <w:rsid w:val="33493419"/>
    <w:rsid w:val="33E32A95"/>
    <w:rsid w:val="35C02C5D"/>
    <w:rsid w:val="36627C78"/>
    <w:rsid w:val="36A22794"/>
    <w:rsid w:val="379B4656"/>
    <w:rsid w:val="380D0E45"/>
    <w:rsid w:val="386A78AC"/>
    <w:rsid w:val="398C3287"/>
    <w:rsid w:val="3A876192"/>
    <w:rsid w:val="3A9A5C5F"/>
    <w:rsid w:val="3C2E4E6C"/>
    <w:rsid w:val="3C912D79"/>
    <w:rsid w:val="3D122A1E"/>
    <w:rsid w:val="3D477BF1"/>
    <w:rsid w:val="3D50498B"/>
    <w:rsid w:val="3E554590"/>
    <w:rsid w:val="3E725142"/>
    <w:rsid w:val="3EAB41B0"/>
    <w:rsid w:val="3F795625"/>
    <w:rsid w:val="3FED3993"/>
    <w:rsid w:val="40120A82"/>
    <w:rsid w:val="40D166D9"/>
    <w:rsid w:val="41353CE5"/>
    <w:rsid w:val="42696BD8"/>
    <w:rsid w:val="429C09DF"/>
    <w:rsid w:val="440940A9"/>
    <w:rsid w:val="447C5669"/>
    <w:rsid w:val="44BA15E2"/>
    <w:rsid w:val="44C63AF1"/>
    <w:rsid w:val="450B4BCB"/>
    <w:rsid w:val="45795DD4"/>
    <w:rsid w:val="460A3EB2"/>
    <w:rsid w:val="460F771A"/>
    <w:rsid w:val="47C35B26"/>
    <w:rsid w:val="47E86474"/>
    <w:rsid w:val="47F92430"/>
    <w:rsid w:val="48425B85"/>
    <w:rsid w:val="48DD765B"/>
    <w:rsid w:val="4C016A18"/>
    <w:rsid w:val="4C9A671F"/>
    <w:rsid w:val="4CE94F85"/>
    <w:rsid w:val="4DC26508"/>
    <w:rsid w:val="4E502893"/>
    <w:rsid w:val="4E7A2AB2"/>
    <w:rsid w:val="4F4D2586"/>
    <w:rsid w:val="4F572C69"/>
    <w:rsid w:val="4FEB12F8"/>
    <w:rsid w:val="50013353"/>
    <w:rsid w:val="50CD3434"/>
    <w:rsid w:val="513D513B"/>
    <w:rsid w:val="517A638F"/>
    <w:rsid w:val="519C4558"/>
    <w:rsid w:val="540D7843"/>
    <w:rsid w:val="54493DF7"/>
    <w:rsid w:val="54D46970"/>
    <w:rsid w:val="551E7BF2"/>
    <w:rsid w:val="561E5045"/>
    <w:rsid w:val="56691413"/>
    <w:rsid w:val="56962674"/>
    <w:rsid w:val="588F6C13"/>
    <w:rsid w:val="58D740C7"/>
    <w:rsid w:val="5AD76600"/>
    <w:rsid w:val="5AFC5A66"/>
    <w:rsid w:val="5C335282"/>
    <w:rsid w:val="5D473CFC"/>
    <w:rsid w:val="5D752101"/>
    <w:rsid w:val="5D860945"/>
    <w:rsid w:val="5E0123CC"/>
    <w:rsid w:val="5F0E45BB"/>
    <w:rsid w:val="5F1E2A98"/>
    <w:rsid w:val="5F2F313E"/>
    <w:rsid w:val="601E127D"/>
    <w:rsid w:val="61356ED3"/>
    <w:rsid w:val="620D33E1"/>
    <w:rsid w:val="627B5AC3"/>
    <w:rsid w:val="62AF40BB"/>
    <w:rsid w:val="63EE0517"/>
    <w:rsid w:val="64406FC4"/>
    <w:rsid w:val="64B0275B"/>
    <w:rsid w:val="64CB2846"/>
    <w:rsid w:val="65D43361"/>
    <w:rsid w:val="66A6771D"/>
    <w:rsid w:val="67801DCE"/>
    <w:rsid w:val="68060525"/>
    <w:rsid w:val="69A82323"/>
    <w:rsid w:val="6B8A321B"/>
    <w:rsid w:val="6D205BE5"/>
    <w:rsid w:val="6EC16B87"/>
    <w:rsid w:val="6F327E52"/>
    <w:rsid w:val="6F35349E"/>
    <w:rsid w:val="6FDA6780"/>
    <w:rsid w:val="711517D9"/>
    <w:rsid w:val="71430CA0"/>
    <w:rsid w:val="71857D13"/>
    <w:rsid w:val="729725FC"/>
    <w:rsid w:val="732857F3"/>
    <w:rsid w:val="7399049F"/>
    <w:rsid w:val="73C5726C"/>
    <w:rsid w:val="7470089E"/>
    <w:rsid w:val="75263FB5"/>
    <w:rsid w:val="76A8706D"/>
    <w:rsid w:val="77B75C5E"/>
    <w:rsid w:val="78406B4D"/>
    <w:rsid w:val="78B10039"/>
    <w:rsid w:val="78CA10FB"/>
    <w:rsid w:val="79A82877"/>
    <w:rsid w:val="7A5056BD"/>
    <w:rsid w:val="7A755C23"/>
    <w:rsid w:val="7B166879"/>
    <w:rsid w:val="7C056D62"/>
    <w:rsid w:val="7F5F6693"/>
    <w:rsid w:val="7F8B1EA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sz w:val="21"/>
      <w:szCs w:val="22"/>
    </w:rPr>
  </w:style>
  <w:style w:type="paragraph" w:styleId="2">
    <w:name w:val="heading 1"/>
    <w:basedOn w:val="1"/>
    <w:next w:val="1"/>
    <w:qFormat/>
    <w:uiPriority w:val="0"/>
    <w:pPr>
      <w:keepNext w:val="0"/>
      <w:keepLines w:val="0"/>
      <w:widowControl w:val="0"/>
      <w:spacing w:before="240" w:beforeLines="0" w:after="120" w:line="360" w:lineRule="auto"/>
      <w:jc w:val="left"/>
      <w:outlineLvl w:val="0"/>
    </w:pPr>
    <w:rPr>
      <w:rFonts w:ascii="宋体" w:hAnsi="宋体" w:eastAsia="宋体" w:cs="宋体"/>
      <w:b/>
      <w:bCs/>
      <w:kern w:val="44"/>
      <w:sz w:val="24"/>
      <w:szCs w:val="30"/>
    </w:rPr>
  </w:style>
  <w:style w:type="paragraph" w:styleId="3">
    <w:name w:val="heading 2"/>
    <w:next w:val="1"/>
    <w:unhideWhenUsed/>
    <w:qFormat/>
    <w:uiPriority w:val="0"/>
    <w:pPr>
      <w:keepNext w:val="0"/>
      <w:keepLines w:val="0"/>
      <w:widowControl w:val="0"/>
      <w:spacing w:beforeAutospacing="0" w:after="120" w:afterAutospacing="0" w:line="360" w:lineRule="auto"/>
      <w:jc w:val="left"/>
      <w:outlineLvl w:val="1"/>
    </w:pPr>
    <w:rPr>
      <w:rFonts w:ascii="Times New Roman" w:hAnsi="Times New Roman" w:eastAsia="宋体" w:cs="Times New Roman"/>
      <w:b/>
      <w:sz w:val="24"/>
    </w:rPr>
  </w:style>
  <w:style w:type="paragraph" w:styleId="4">
    <w:name w:val="heading 3"/>
    <w:next w:val="1"/>
    <w:unhideWhenUsed/>
    <w:qFormat/>
    <w:uiPriority w:val="0"/>
    <w:pPr>
      <w:keepNext w:val="0"/>
      <w:keepLines w:val="0"/>
      <w:widowControl w:val="0"/>
      <w:spacing w:beforeAutospacing="0" w:after="120" w:afterAutospacing="0" w:line="360" w:lineRule="auto"/>
      <w:jc w:val="left"/>
      <w:outlineLvl w:val="2"/>
    </w:pPr>
    <w:rPr>
      <w:rFonts w:ascii="Times New Roman" w:hAnsi="Times New Roman" w:eastAsia="宋体" w:cs="Times New Roman"/>
      <w:b/>
      <w:sz w:val="24"/>
    </w:rPr>
  </w:style>
  <w:style w:type="paragraph" w:styleId="5">
    <w:name w:val="heading 4"/>
    <w:next w:val="1"/>
    <w:semiHidden/>
    <w:unhideWhenUsed/>
    <w:qFormat/>
    <w:uiPriority w:val="0"/>
    <w:pPr>
      <w:keepNext w:val="0"/>
      <w:keepLines w:val="0"/>
      <w:widowControl w:val="0"/>
      <w:spacing w:beforeAutospacing="0" w:after="120" w:afterAutospacing="0" w:line="360" w:lineRule="auto"/>
      <w:outlineLvl w:val="3"/>
    </w:pPr>
    <w:rPr>
      <w:rFonts w:ascii="Times New Roman" w:hAnsi="Times New Roman" w:eastAsia="宋体" w:cs="Times New Roman"/>
      <w:sz w:val="24"/>
    </w:rPr>
  </w:style>
  <w:style w:type="paragraph" w:styleId="6">
    <w:name w:val="heading 5"/>
    <w:next w:val="1"/>
    <w:semiHidden/>
    <w:unhideWhenUsed/>
    <w:qFormat/>
    <w:uiPriority w:val="0"/>
    <w:pPr>
      <w:keepNext w:val="0"/>
      <w:keepLines w:val="0"/>
      <w:widowControl w:val="0"/>
      <w:spacing w:beforeLines="0" w:beforeAutospacing="0" w:after="120" w:afterLines="0" w:afterAutospacing="0" w:line="440" w:lineRule="exact"/>
      <w:jc w:val="left"/>
      <w:outlineLvl w:val="4"/>
    </w:pPr>
    <w:rPr>
      <w:rFonts w:ascii="Times New Roman" w:hAnsi="Times New Roman" w:eastAsia="宋体" w:cs="Times New Roman"/>
      <w:sz w:val="24"/>
    </w:rPr>
  </w:style>
  <w:style w:type="paragraph" w:styleId="7">
    <w:name w:val="heading 6"/>
    <w:next w:val="1"/>
    <w:semiHidden/>
    <w:unhideWhenUsed/>
    <w:qFormat/>
    <w:uiPriority w:val="0"/>
    <w:pPr>
      <w:keepNext w:val="0"/>
      <w:keepLines w:val="0"/>
      <w:widowControl w:val="0"/>
      <w:spacing w:beforeLines="0" w:beforeAutospacing="0" w:after="120" w:afterLines="0" w:afterAutospacing="0" w:line="360" w:lineRule="auto"/>
      <w:jc w:val="left"/>
      <w:outlineLvl w:val="5"/>
    </w:pPr>
    <w:rPr>
      <w:rFonts w:ascii="Times New Roman" w:hAnsi="Times New Roman" w:eastAsia="宋体" w:cs="Times New Roman"/>
      <w:sz w:val="24"/>
    </w:rPr>
  </w:style>
  <w:style w:type="paragraph" w:styleId="8">
    <w:name w:val="heading 7"/>
    <w:next w:val="1"/>
    <w:semiHidden/>
    <w:unhideWhenUsed/>
    <w:qFormat/>
    <w:uiPriority w:val="0"/>
    <w:pPr>
      <w:keepNext w:val="0"/>
      <w:keepLines w:val="0"/>
      <w:widowControl w:val="0"/>
      <w:spacing w:beforeLines="0" w:beforeAutospacing="0" w:after="120" w:afterLines="0" w:afterAutospacing="0" w:line="360" w:lineRule="auto"/>
      <w:jc w:val="left"/>
      <w:outlineLvl w:val="6"/>
    </w:pPr>
    <w:rPr>
      <w:rFonts w:ascii="Times New Roman" w:hAnsi="Times New Roman" w:eastAsia="宋体" w:cs="Times New Roman"/>
      <w:sz w:val="24"/>
    </w:rPr>
  </w:style>
  <w:style w:type="paragraph" w:styleId="9">
    <w:name w:val="heading 8"/>
    <w:next w:val="1"/>
    <w:semiHidden/>
    <w:unhideWhenUsed/>
    <w:qFormat/>
    <w:uiPriority w:val="0"/>
    <w:pPr>
      <w:keepNext w:val="0"/>
      <w:keepLines w:val="0"/>
      <w:widowControl w:val="0"/>
      <w:spacing w:beforeLines="0" w:beforeAutospacing="0" w:after="120" w:afterLines="0" w:afterAutospacing="0" w:line="360" w:lineRule="auto"/>
      <w:jc w:val="left"/>
      <w:outlineLvl w:val="7"/>
    </w:pPr>
    <w:rPr>
      <w:rFonts w:ascii="Times New Roman" w:hAnsi="Times New Roman" w:eastAsia="宋体" w:cs="Times New Roman"/>
      <w:sz w:val="24"/>
    </w:rPr>
  </w:style>
  <w:style w:type="paragraph" w:styleId="10">
    <w:name w:val="heading 9"/>
    <w:next w:val="1"/>
    <w:semiHidden/>
    <w:unhideWhenUsed/>
    <w:qFormat/>
    <w:uiPriority w:val="0"/>
    <w:pPr>
      <w:keepNext w:val="0"/>
      <w:keepLines w:val="0"/>
      <w:widowControl w:val="0"/>
      <w:spacing w:beforeLines="0" w:beforeAutospacing="0" w:after="120" w:afterLines="0" w:afterAutospacing="0" w:line="360" w:lineRule="auto"/>
      <w:jc w:val="left"/>
      <w:outlineLvl w:val="8"/>
    </w:pPr>
    <w:rPr>
      <w:rFonts w:ascii="Times New Roman" w:hAnsi="Times New Roman" w:eastAsia="宋体" w:cs="Times New Roman"/>
      <w:sz w:val="24"/>
    </w:rPr>
  </w:style>
  <w:style w:type="character" w:default="1" w:styleId="20">
    <w:name w:val="Default Paragraph Font"/>
    <w:semiHidden/>
    <w:qFormat/>
    <w:uiPriority w:val="0"/>
  </w:style>
  <w:style w:type="table" w:default="1" w:styleId="18">
    <w:name w:val="Normal Table"/>
    <w:semiHidden/>
    <w:qFormat/>
    <w:uiPriority w:val="0"/>
    <w:tblPr>
      <w:tblCellMar>
        <w:top w:w="0" w:type="dxa"/>
        <w:left w:w="108" w:type="dxa"/>
        <w:bottom w:w="0" w:type="dxa"/>
        <w:right w:w="108" w:type="dxa"/>
      </w:tblCellMar>
    </w:tblPr>
  </w:style>
  <w:style w:type="paragraph" w:styleId="11">
    <w:name w:val="Body Text"/>
    <w:qFormat/>
    <w:uiPriority w:val="0"/>
    <w:pPr>
      <w:widowControl w:val="0"/>
      <w:spacing w:after="120" w:afterAutospacing="0" w:line="360" w:lineRule="auto"/>
      <w:ind w:firstLine="420" w:firstLineChars="200"/>
    </w:pPr>
    <w:rPr>
      <w:rFonts w:ascii="Times New Roman" w:hAnsi="Times New Roman" w:eastAsia="宋体" w:cs="Times New Roman"/>
      <w:sz w:val="24"/>
    </w:rPr>
  </w:style>
  <w:style w:type="paragraph" w:styleId="12">
    <w:name w:val="footer"/>
    <w:basedOn w:val="1"/>
    <w:qFormat/>
    <w:uiPriority w:val="99"/>
    <w:pPr>
      <w:tabs>
        <w:tab w:val="center" w:pos="4153"/>
        <w:tab w:val="right" w:pos="8306"/>
      </w:tabs>
      <w:snapToGrid w:val="0"/>
      <w:jc w:val="left"/>
    </w:pPr>
    <w:rPr>
      <w:sz w:val="18"/>
      <w:szCs w:val="20"/>
    </w:rPr>
  </w:style>
  <w:style w:type="paragraph" w:styleId="1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4">
    <w:name w:val="toc 1"/>
    <w:basedOn w:val="1"/>
    <w:next w:val="1"/>
    <w:qFormat/>
    <w:uiPriority w:val="39"/>
  </w:style>
  <w:style w:type="paragraph" w:styleId="15">
    <w:name w:val="Subtitle"/>
    <w:qFormat/>
    <w:uiPriority w:val="0"/>
    <w:pPr>
      <w:widowControl w:val="0"/>
      <w:spacing w:beforeLines="0" w:beforeAutospacing="0" w:after="240" w:afterLines="0" w:afterAutospacing="0" w:line="240" w:lineRule="auto"/>
      <w:jc w:val="center"/>
      <w:outlineLvl w:val="9"/>
    </w:pPr>
    <w:rPr>
      <w:rFonts w:ascii="Times New Roman" w:hAnsi="Times New Roman" w:eastAsia="宋体" w:cs="Times New Roman"/>
      <w:kern w:val="28"/>
      <w:sz w:val="21"/>
    </w:rPr>
  </w:style>
  <w:style w:type="paragraph" w:styleId="16">
    <w:name w:val="Title"/>
    <w:qFormat/>
    <w:uiPriority w:val="0"/>
    <w:pPr>
      <w:spacing w:before="240" w:beforeAutospacing="0" w:after="240" w:afterAutospacing="0" w:line="240" w:lineRule="auto"/>
      <w:jc w:val="center"/>
      <w:outlineLvl w:val="9"/>
    </w:pPr>
    <w:rPr>
      <w:rFonts w:ascii="Times New Roman" w:hAnsi="Times New Roman" w:eastAsia="宋体" w:cs="Times New Roman"/>
      <w:b/>
      <w:sz w:val="32"/>
    </w:rPr>
  </w:style>
  <w:style w:type="paragraph" w:styleId="17">
    <w:name w:val="Body Text First Indent"/>
    <w:basedOn w:val="1"/>
    <w:qFormat/>
    <w:uiPriority w:val="0"/>
    <w:pPr>
      <w:spacing w:line="312" w:lineRule="auto"/>
      <w:ind w:firstLine="420"/>
    </w:pPr>
    <w:rPr>
      <w:sz w:val="24"/>
    </w:rPr>
  </w:style>
  <w:style w:type="table" w:styleId="19">
    <w:name w:val="Table Grid"/>
    <w:basedOn w:val="1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21">
    <w:name w:val="章节标题"/>
    <w:next w:val="1"/>
    <w:qFormat/>
    <w:uiPriority w:val="0"/>
    <w:pPr>
      <w:pageBreakBefore w:val="0"/>
      <w:widowControl w:val="0"/>
      <w:spacing w:before="240" w:beforeLines="0" w:after="240" w:line="240" w:lineRule="auto"/>
      <w:jc w:val="center"/>
      <w:outlineLvl w:val="0"/>
    </w:pPr>
    <w:rPr>
      <w:rFonts w:ascii="Times New Roman" w:hAnsi="Times New Roman" w:eastAsia="黑体" w:cs="Times New Roman"/>
      <w:kern w:val="44"/>
      <w:sz w:val="32"/>
      <w:szCs w:val="36"/>
    </w:rPr>
  </w:style>
  <w:style w:type="paragraph" w:customStyle="1" w:styleId="22">
    <w:name w:val="文档说明标题"/>
    <w:next w:val="1"/>
    <w:qFormat/>
    <w:uiPriority w:val="0"/>
    <w:pPr>
      <w:keepNext w:val="0"/>
      <w:keepLines w:val="0"/>
      <w:widowControl w:val="0"/>
      <w:spacing w:before="240" w:after="240" w:line="240" w:lineRule="auto"/>
      <w:jc w:val="center"/>
      <w:outlineLvl w:val="9"/>
    </w:pPr>
    <w:rPr>
      <w:rFonts w:ascii="Times New Roman" w:hAnsi="Times New Roman" w:eastAsia="宋体" w:cs="Times New Roman"/>
      <w:b/>
      <w:sz w:val="32"/>
    </w:rPr>
  </w:style>
  <w:style w:type="paragraph" w:customStyle="1" w:styleId="23">
    <w:name w:val="内嵌文档标题1"/>
    <w:next w:val="1"/>
    <w:qFormat/>
    <w:uiPriority w:val="0"/>
    <w:pPr>
      <w:widowControl w:val="0"/>
      <w:spacing w:before="240" w:after="240" w:line="360" w:lineRule="auto"/>
      <w:jc w:val="center"/>
      <w:outlineLvl w:val="0"/>
    </w:pPr>
    <w:rPr>
      <w:rFonts w:ascii="Times New Roman" w:hAnsi="Times New Roman" w:eastAsia="宋体" w:cs="Times New Roman"/>
      <w:b/>
      <w:kern w:val="2"/>
      <w:sz w:val="24"/>
    </w:rPr>
  </w:style>
  <w:style w:type="paragraph" w:customStyle="1" w:styleId="24">
    <w:name w:val="正文_3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5">
    <w:name w:val="Normal_21"/>
    <w:qFormat/>
    <w:uiPriority w:val="0"/>
    <w:rPr>
      <w:rFonts w:ascii="黑体" w:hAnsi="黑体" w:eastAsia="黑体" w:cs="Times New Roman"/>
      <w:b/>
      <w:sz w:val="32"/>
      <w:szCs w:val="24"/>
      <w:lang w:val="en-US" w:eastAsia="zh-CN" w:bidi="ar-SA"/>
    </w:rPr>
  </w:style>
  <w:style w:type="paragraph" w:customStyle="1" w:styleId="26">
    <w:name w:val="Normal_8"/>
    <w:qFormat/>
    <w:uiPriority w:val="0"/>
    <w:rPr>
      <w:rFonts w:ascii="黑体" w:hAnsi="黑体" w:eastAsia="黑体" w:cs="Times New Roman"/>
      <w:b/>
      <w:sz w:val="32"/>
      <w:szCs w:val="24"/>
      <w:lang w:bidi="ar-SA"/>
    </w:rPr>
  </w:style>
  <w:style w:type="paragraph" w:customStyle="1" w:styleId="27">
    <w:name w:val="纯文本2"/>
    <w:basedOn w:val="28"/>
    <w:link w:val="47"/>
    <w:qFormat/>
    <w:uiPriority w:val="0"/>
    <w:rPr>
      <w:rFonts w:ascii="宋体" w:hAnsi="Courier New" w:eastAsia="宋体"/>
      <w:sz w:val="28"/>
      <w:szCs w:val="22"/>
    </w:rPr>
  </w:style>
  <w:style w:type="paragraph" w:customStyle="1" w:styleId="28">
    <w:name w:val="正文_12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9">
    <w:name w:val="正文_8"/>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0">
    <w:name w:val="正文_8_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1">
    <w:name w:val="Normal_6"/>
    <w:qFormat/>
    <w:uiPriority w:val="0"/>
    <w:rPr>
      <w:rFonts w:ascii="黑体" w:hAnsi="黑体" w:eastAsia="黑体" w:cs="Times New Roman"/>
      <w:b/>
      <w:sz w:val="32"/>
      <w:szCs w:val="24"/>
      <w:lang w:bidi="ar-SA"/>
    </w:rPr>
  </w:style>
  <w:style w:type="paragraph" w:customStyle="1" w:styleId="32">
    <w:name w:val="正文_6_0"/>
    <w:qFormat/>
    <w:uiPriority w:val="0"/>
    <w:rPr>
      <w:rFonts w:ascii="宋体" w:hAnsi="宋体" w:eastAsia="宋体" w:cs="宋体"/>
      <w:sz w:val="24"/>
      <w:szCs w:val="24"/>
      <w:lang w:val="en-US" w:eastAsia="zh-CN" w:bidi="ar-SA"/>
    </w:rPr>
  </w:style>
  <w:style w:type="paragraph" w:customStyle="1" w:styleId="33">
    <w:name w:val="正文_16"/>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4">
    <w:name w:val="Normal_7"/>
    <w:qFormat/>
    <w:uiPriority w:val="0"/>
    <w:rPr>
      <w:rFonts w:ascii="黑体" w:hAnsi="黑体" w:eastAsia="黑体" w:cs="Times New Roman"/>
      <w:b/>
      <w:sz w:val="32"/>
      <w:szCs w:val="24"/>
      <w:lang w:bidi="ar-SA"/>
    </w:rPr>
  </w:style>
  <w:style w:type="paragraph" w:customStyle="1" w:styleId="35">
    <w:name w:val="正文_7_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6">
    <w:name w:val="正文_13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7">
    <w:name w:val="正文_1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38">
    <w:name w:val="Normal_9"/>
    <w:qFormat/>
    <w:uiPriority w:val="0"/>
    <w:rPr>
      <w:rFonts w:ascii="黑体" w:hAnsi="黑体" w:eastAsia="黑体" w:cs="Times New Roman"/>
      <w:b/>
      <w:sz w:val="32"/>
      <w:szCs w:val="24"/>
      <w:lang w:bidi="ar-SA"/>
    </w:rPr>
  </w:style>
  <w:style w:type="paragraph" w:customStyle="1" w:styleId="39">
    <w:name w:val="正文_17"/>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0">
    <w:name w:val="Normal_12"/>
    <w:qFormat/>
    <w:uiPriority w:val="0"/>
    <w:rPr>
      <w:rFonts w:ascii="黑体" w:hAnsi="黑体" w:eastAsia="黑体" w:cs="Times New Roman"/>
      <w:b/>
      <w:sz w:val="32"/>
      <w:szCs w:val="24"/>
      <w:lang w:bidi="ar-SA"/>
    </w:rPr>
  </w:style>
  <w:style w:type="paragraph" w:customStyle="1" w:styleId="41">
    <w:name w:val="正文_2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2">
    <w:name w:val="纯文本2_1"/>
    <w:basedOn w:val="43"/>
    <w:link w:val="46"/>
    <w:qFormat/>
    <w:uiPriority w:val="0"/>
    <w:rPr>
      <w:rFonts w:ascii="宋体" w:hAnsi="Courier New"/>
      <w:sz w:val="28"/>
      <w:szCs w:val="22"/>
    </w:rPr>
  </w:style>
  <w:style w:type="paragraph" w:customStyle="1" w:styleId="43">
    <w:name w:val="正文_26"/>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4">
    <w:name w:val="正文_2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5">
    <w:name w:val="正文_2"/>
    <w:qFormat/>
    <w:uiPriority w:val="0"/>
    <w:pPr>
      <w:widowControl w:val="0"/>
      <w:jc w:val="both"/>
    </w:pPr>
    <w:rPr>
      <w:rFonts w:ascii="Times New Roman" w:hAnsi="Times New Roman" w:eastAsia="宋体" w:cs="Times New Roman"/>
      <w:kern w:val="2"/>
      <w:sz w:val="21"/>
      <w:szCs w:val="22"/>
      <w:lang w:val="en-US" w:eastAsia="zh-CN" w:bidi="ar-SA"/>
    </w:rPr>
  </w:style>
  <w:style w:type="character" w:customStyle="1" w:styleId="46">
    <w:name w:val="纯文本2_1 Char"/>
    <w:link w:val="42"/>
    <w:qFormat/>
    <w:uiPriority w:val="0"/>
    <w:rPr>
      <w:rFonts w:ascii="宋体" w:hAnsi="Courier New"/>
      <w:sz w:val="28"/>
      <w:szCs w:val="22"/>
    </w:rPr>
  </w:style>
  <w:style w:type="character" w:customStyle="1" w:styleId="47">
    <w:name w:val="纯文本2 Char"/>
    <w:link w:val="27"/>
    <w:qFormat/>
    <w:uiPriority w:val="0"/>
    <w:rPr>
      <w:rFonts w:ascii="宋体" w:hAnsi="Courier New" w:eastAsia="宋体"/>
      <w:sz w:val="28"/>
      <w:szCs w:val="22"/>
    </w:rPr>
  </w:style>
  <w:style w:type="paragraph" w:customStyle="1" w:styleId="48">
    <w:name w:val="正文_0"/>
    <w:qFormat/>
    <w:uiPriority w:val="0"/>
    <w:pPr>
      <w:widowControl w:val="0"/>
      <w:jc w:val="both"/>
    </w:pPr>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67</Pages>
  <Words>17181</Words>
  <Characters>17567</Characters>
  <Lines>1</Lines>
  <Paragraphs>1</Paragraphs>
  <TotalTime>1</TotalTime>
  <ScaleCrop>false</ScaleCrop>
  <LinksUpToDate>false</LinksUpToDate>
  <CharactersWithSpaces>17680</CharactersWithSpaces>
  <Application>WPS Office_12.1.0.25225_F1E327BC-269C-435d-A152-05C5408002CA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2026-01-12T14:35:00Z</dcterms:created>
  <dc:creator>Apache POI</dc:creator>
  <cp:lastModifiedBy>李啸</cp:lastModifiedBy>
  <dcterms:modified xsi:type="dcterms:W3CDTF">2026-02-24T08:54:16Z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eyJoZGlkIjoiYTE3YmI1YjZhMTU3OTI0MGI5MzE5MDViYTY3NTMzMjYiLCJ1c2VySWQiOiIzMDQyMzE0MTYifQ==</vt:lpwstr>
  </property>
  <property fmtid="{D5CDD505-2E9C-101B-9397-08002B2CF9AE}" pid="3" name="KSOProductBuildVer">
    <vt:lpwstr>2052-12.1.0.25225</vt:lpwstr>
  </property>
  <property fmtid="{D5CDD505-2E9C-101B-9397-08002B2CF9AE}" pid="4" name="ICV">
    <vt:lpwstr>279FA942AE864E5F96A2C39351FA31C4_12</vt:lpwstr>
  </property>
</Properties>
</file>